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A8EC8" w14:textId="6EE946D9" w:rsidR="001967D4" w:rsidRPr="0053113E" w:rsidRDefault="00CB6290" w:rsidP="00BB63C2">
      <w:pPr>
        <w:widowControl w:val="0"/>
        <w:autoSpaceDE w:val="0"/>
        <w:autoSpaceDN w:val="0"/>
        <w:adjustRightInd w:val="0"/>
        <w:spacing w:after="0"/>
        <w:jc w:val="center"/>
        <w:rPr>
          <w:rFonts w:asciiTheme="minorHAnsi" w:hAnsiTheme="minorHAnsi" w:cstheme="minorHAnsi"/>
          <w:b/>
          <w:bCs/>
          <w:sz w:val="32"/>
          <w:szCs w:val="32"/>
        </w:rPr>
      </w:pPr>
      <w:r>
        <w:rPr>
          <w:rFonts w:asciiTheme="minorHAnsi" w:hAnsiTheme="minorHAnsi" w:cstheme="minorHAnsi"/>
          <w:b/>
          <w:bCs/>
          <w:sz w:val="32"/>
          <w:szCs w:val="32"/>
        </w:rPr>
        <w:t>Hypertension</w:t>
      </w:r>
      <w:r w:rsidR="002116E7" w:rsidRPr="0053113E">
        <w:rPr>
          <w:rFonts w:asciiTheme="minorHAnsi" w:hAnsiTheme="minorHAnsi" w:cstheme="minorHAnsi"/>
          <w:b/>
          <w:bCs/>
          <w:sz w:val="32"/>
          <w:szCs w:val="32"/>
        </w:rPr>
        <w:t xml:space="preserve"> Collaborative Practice Agreement</w:t>
      </w:r>
    </w:p>
    <w:p w14:paraId="1CE4131D" w14:textId="558A3FD5" w:rsidR="002116E7" w:rsidRPr="0060495A" w:rsidRDefault="00450CB9" w:rsidP="00BB63C2">
      <w:pPr>
        <w:widowControl w:val="0"/>
        <w:autoSpaceDE w:val="0"/>
        <w:autoSpaceDN w:val="0"/>
        <w:adjustRightInd w:val="0"/>
        <w:spacing w:after="0"/>
        <w:jc w:val="center"/>
        <w:rPr>
          <w:rFonts w:asciiTheme="minorHAnsi" w:hAnsiTheme="minorHAnsi" w:cstheme="minorHAnsi"/>
        </w:rPr>
      </w:pPr>
      <w:r w:rsidRPr="0060495A">
        <w:rPr>
          <w:rFonts w:asciiTheme="minorHAnsi" w:hAnsiTheme="minorHAnsi" w:cstheme="minorHAnsi"/>
        </w:rPr>
        <w:t xml:space="preserve">Developed for Pharmacy Practice in the </w:t>
      </w:r>
      <w:r w:rsidR="002116E7" w:rsidRPr="0060495A">
        <w:rPr>
          <w:rFonts w:asciiTheme="minorHAnsi" w:hAnsiTheme="minorHAnsi" w:cstheme="minorHAnsi"/>
        </w:rPr>
        <w:t>State of Colorado</w:t>
      </w:r>
    </w:p>
    <w:p w14:paraId="614F5191" w14:textId="2B9CB12E" w:rsidR="002116E7" w:rsidRPr="0060495A" w:rsidRDefault="003D3A84" w:rsidP="00BB63C2">
      <w:pPr>
        <w:widowControl w:val="0"/>
        <w:autoSpaceDE w:val="0"/>
        <w:autoSpaceDN w:val="0"/>
        <w:adjustRightInd w:val="0"/>
        <w:spacing w:after="0"/>
        <w:jc w:val="center"/>
        <w:rPr>
          <w:rFonts w:asciiTheme="minorHAnsi" w:hAnsiTheme="minorHAnsi" w:cstheme="minorHAnsi"/>
        </w:rPr>
      </w:pPr>
      <w:r w:rsidRPr="0060495A">
        <w:rPr>
          <w:rFonts w:asciiTheme="minorHAnsi" w:hAnsiTheme="minorHAnsi" w:cstheme="minorHAnsi"/>
        </w:rPr>
        <w:t>[</w:t>
      </w:r>
      <w:r w:rsidR="00D26314" w:rsidRPr="0060495A">
        <w:rPr>
          <w:rFonts w:asciiTheme="minorHAnsi" w:hAnsiTheme="minorHAnsi" w:cstheme="minorHAnsi"/>
        </w:rPr>
        <w:t>Prescriber/Prescriber Group</w:t>
      </w:r>
      <w:r w:rsidRPr="0060495A">
        <w:rPr>
          <w:rFonts w:asciiTheme="minorHAnsi" w:hAnsiTheme="minorHAnsi" w:cstheme="minorHAnsi"/>
        </w:rPr>
        <w:t>]</w:t>
      </w:r>
      <w:r w:rsidR="002116E7" w:rsidRPr="0060495A">
        <w:rPr>
          <w:rFonts w:asciiTheme="minorHAnsi" w:hAnsiTheme="minorHAnsi" w:cstheme="minorHAnsi"/>
        </w:rPr>
        <w:t xml:space="preserve"> partnering with </w:t>
      </w:r>
      <w:r w:rsidRPr="0060495A">
        <w:rPr>
          <w:rFonts w:asciiTheme="minorHAnsi" w:hAnsiTheme="minorHAnsi" w:cstheme="minorHAnsi"/>
        </w:rPr>
        <w:t>[Pharmacist</w:t>
      </w:r>
      <w:r w:rsidR="0060495A" w:rsidRPr="0060495A">
        <w:rPr>
          <w:rFonts w:asciiTheme="minorHAnsi" w:hAnsiTheme="minorHAnsi" w:cstheme="minorHAnsi"/>
        </w:rPr>
        <w:t>/P</w:t>
      </w:r>
      <w:r w:rsidRPr="0060495A">
        <w:rPr>
          <w:rFonts w:asciiTheme="minorHAnsi" w:hAnsiTheme="minorHAnsi" w:cstheme="minorHAnsi"/>
        </w:rPr>
        <w:t>harmacist group]</w:t>
      </w:r>
    </w:p>
    <w:p w14:paraId="672A6659" w14:textId="77777777" w:rsidR="001967D4" w:rsidRPr="00831E3D" w:rsidRDefault="001967D4" w:rsidP="00BB63C2">
      <w:pPr>
        <w:pStyle w:val="Default"/>
        <w:widowControl/>
        <w:jc w:val="both"/>
        <w:rPr>
          <w:rFonts w:asciiTheme="minorHAnsi" w:hAnsiTheme="minorHAnsi" w:cstheme="minorHAnsi"/>
          <w:color w:val="auto"/>
          <w:sz w:val="22"/>
          <w:szCs w:val="22"/>
        </w:rPr>
      </w:pPr>
    </w:p>
    <w:p w14:paraId="3431D24C" w14:textId="77777777" w:rsidR="001967D4" w:rsidRPr="00831E3D" w:rsidRDefault="001967D4" w:rsidP="004D2870">
      <w:pPr>
        <w:pStyle w:val="Default"/>
        <w:widowControl/>
        <w:numPr>
          <w:ilvl w:val="0"/>
          <w:numId w:val="1"/>
        </w:numPr>
        <w:tabs>
          <w:tab w:val="left" w:pos="0"/>
        </w:tabs>
        <w:ind w:left="360" w:hanging="360"/>
        <w:jc w:val="both"/>
        <w:rPr>
          <w:rFonts w:asciiTheme="minorHAnsi" w:hAnsiTheme="minorHAnsi" w:cstheme="minorHAnsi"/>
          <w:color w:val="auto"/>
          <w:sz w:val="22"/>
          <w:szCs w:val="22"/>
        </w:rPr>
      </w:pPr>
      <w:r w:rsidRPr="00831E3D">
        <w:rPr>
          <w:rFonts w:asciiTheme="minorHAnsi" w:hAnsiTheme="minorHAnsi" w:cstheme="minorHAnsi"/>
          <w:b/>
          <w:bCs/>
          <w:color w:val="auto"/>
          <w:sz w:val="22"/>
          <w:szCs w:val="22"/>
        </w:rPr>
        <w:t xml:space="preserve">A. </w:t>
      </w:r>
      <w:r w:rsidRPr="00831E3D">
        <w:rPr>
          <w:rFonts w:asciiTheme="minorHAnsi" w:hAnsiTheme="minorHAnsi" w:cstheme="minorHAnsi"/>
          <w:b/>
          <w:bCs/>
          <w:color w:val="auto"/>
          <w:sz w:val="22"/>
          <w:szCs w:val="22"/>
          <w:u w:val="single"/>
        </w:rPr>
        <w:t xml:space="preserve">Policy Statement </w:t>
      </w:r>
    </w:p>
    <w:p w14:paraId="55924B07" w14:textId="7CB67CD5" w:rsidR="001967D4" w:rsidRPr="00831E3D" w:rsidRDefault="001967D4" w:rsidP="0060495A">
      <w:pPr>
        <w:pStyle w:val="Default"/>
        <w:tabs>
          <w:tab w:val="left" w:pos="0"/>
        </w:tabs>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A pharmacist </w:t>
      </w:r>
      <w:r w:rsidR="00694713" w:rsidRPr="00831E3D">
        <w:rPr>
          <w:rFonts w:asciiTheme="minorHAnsi" w:hAnsiTheme="minorHAnsi" w:cstheme="minorHAnsi"/>
          <w:color w:val="auto"/>
          <w:sz w:val="22"/>
          <w:szCs w:val="22"/>
        </w:rPr>
        <w:t xml:space="preserve">is </w:t>
      </w:r>
      <w:r w:rsidRPr="00831E3D">
        <w:rPr>
          <w:rFonts w:asciiTheme="minorHAnsi" w:hAnsiTheme="minorHAnsi" w:cstheme="minorHAnsi"/>
          <w:color w:val="auto"/>
          <w:sz w:val="22"/>
          <w:szCs w:val="22"/>
        </w:rPr>
        <w:t xml:space="preserve">an integral part of the healthcare team, improving medication safety, adherence, and patient outcomes for chronic disease states. Collaborative </w:t>
      </w:r>
      <w:r w:rsidR="002116E7" w:rsidRPr="00831E3D">
        <w:rPr>
          <w:rFonts w:asciiTheme="minorHAnsi" w:hAnsiTheme="minorHAnsi" w:cstheme="minorHAnsi"/>
          <w:color w:val="auto"/>
          <w:sz w:val="22"/>
          <w:szCs w:val="22"/>
        </w:rPr>
        <w:t xml:space="preserve">Practice Agreements </w:t>
      </w:r>
      <w:r w:rsidRPr="00831E3D">
        <w:rPr>
          <w:rFonts w:asciiTheme="minorHAnsi" w:hAnsiTheme="minorHAnsi" w:cstheme="minorHAnsi"/>
          <w:color w:val="auto"/>
          <w:sz w:val="22"/>
          <w:szCs w:val="22"/>
        </w:rPr>
        <w:t>improve patient outcomes</w:t>
      </w:r>
      <w:r w:rsidR="002116E7" w:rsidRPr="00831E3D">
        <w:rPr>
          <w:rFonts w:asciiTheme="minorHAnsi" w:hAnsiTheme="minorHAnsi" w:cstheme="minorHAnsi"/>
          <w:color w:val="auto"/>
          <w:sz w:val="22"/>
          <w:szCs w:val="22"/>
        </w:rPr>
        <w:t xml:space="preserve"> by allowing pharmacists to titrate</w:t>
      </w:r>
      <w:r w:rsidR="00506913" w:rsidRPr="00831E3D">
        <w:rPr>
          <w:rFonts w:asciiTheme="minorHAnsi" w:hAnsiTheme="minorHAnsi" w:cstheme="minorHAnsi"/>
          <w:color w:val="auto"/>
          <w:sz w:val="22"/>
          <w:szCs w:val="22"/>
        </w:rPr>
        <w:t>, initiate, and monitor medications for chronic disease management. In collaboration, [</w:t>
      </w:r>
      <w:r w:rsidR="00D26314" w:rsidRPr="00831E3D">
        <w:rPr>
          <w:rFonts w:asciiTheme="minorHAnsi" w:hAnsiTheme="minorHAnsi" w:cstheme="minorHAnsi"/>
          <w:color w:val="auto"/>
          <w:sz w:val="22"/>
          <w:szCs w:val="22"/>
        </w:rPr>
        <w:t>Prescriber/Prescriber group</w:t>
      </w:r>
      <w:r w:rsidR="00506913" w:rsidRPr="00831E3D">
        <w:rPr>
          <w:rFonts w:asciiTheme="minorHAnsi" w:hAnsiTheme="minorHAnsi" w:cstheme="minorHAnsi"/>
          <w:color w:val="auto"/>
          <w:sz w:val="22"/>
          <w:szCs w:val="22"/>
        </w:rPr>
        <w:t xml:space="preserve"> etc.] and [pharmacist, pharmacist group, etc.] agree to employ this Collaborative Practice Agreement in accordance with Colorado Board of Pharmacy Regulations. </w:t>
      </w:r>
    </w:p>
    <w:p w14:paraId="6E40BF4D" w14:textId="77777777" w:rsidR="00E564FF" w:rsidRPr="00831E3D" w:rsidRDefault="00E564FF" w:rsidP="0060495A">
      <w:pPr>
        <w:pStyle w:val="Default"/>
        <w:tabs>
          <w:tab w:val="left" w:pos="0"/>
        </w:tabs>
        <w:rPr>
          <w:rFonts w:asciiTheme="minorHAnsi" w:hAnsiTheme="minorHAnsi" w:cstheme="minorHAnsi"/>
          <w:color w:val="auto"/>
          <w:sz w:val="22"/>
          <w:szCs w:val="22"/>
        </w:rPr>
      </w:pPr>
    </w:p>
    <w:p w14:paraId="767247BE" w14:textId="502B1B5F" w:rsidR="00E564FF" w:rsidRDefault="00E564FF" w:rsidP="0060495A">
      <w:pPr>
        <w:pStyle w:val="Default"/>
        <w:tabs>
          <w:tab w:val="left" w:pos="0"/>
        </w:tabs>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Per BOP Regulations </w:t>
      </w:r>
      <w:r w:rsidR="0084371F" w:rsidRPr="00831E3D">
        <w:rPr>
          <w:rFonts w:asciiTheme="minorHAnsi" w:hAnsiTheme="minorHAnsi" w:cstheme="minorHAnsi"/>
          <w:color w:val="auto"/>
          <w:sz w:val="22"/>
          <w:szCs w:val="22"/>
        </w:rPr>
        <w:t>“</w:t>
      </w:r>
      <w:r w:rsidRPr="00831E3D">
        <w:rPr>
          <w:rFonts w:asciiTheme="minorHAnsi" w:hAnsiTheme="minorHAnsi" w:cstheme="minorHAnsi"/>
          <w:color w:val="auto"/>
          <w:sz w:val="22"/>
          <w:szCs w:val="22"/>
        </w:rPr>
        <w:t>Collaborative pharmacy practice agreement,” or “collaborative practice agreement” (CPA), means a written and signed agreement entered into voluntarily between one or more Colorado-licensed pharmacists and one or more physicians or advanced practice nurses</w:t>
      </w:r>
      <w:r w:rsidR="00424291">
        <w:rPr>
          <w:rFonts w:asciiTheme="minorHAnsi" w:hAnsiTheme="minorHAnsi" w:cstheme="minorHAnsi"/>
          <w:color w:val="auto"/>
          <w:sz w:val="22"/>
          <w:szCs w:val="22"/>
        </w:rPr>
        <w:t>. A CPA</w:t>
      </w:r>
      <w:r w:rsidRPr="00831E3D">
        <w:rPr>
          <w:rFonts w:asciiTheme="minorHAnsi" w:hAnsiTheme="minorHAnsi" w:cstheme="minorHAnsi"/>
          <w:color w:val="auto"/>
          <w:sz w:val="22"/>
          <w:szCs w:val="22"/>
        </w:rPr>
        <w:t xml:space="preserve"> grants authority to the pharmacist or pharmacists to provide evidence-based healthcare services to one or more patients pursuant to a specific treatment protocol. Either party may withdraw from an agreement at any time.</w:t>
      </w:r>
      <w:r w:rsidR="008E291F">
        <w:rPr>
          <w:rFonts w:asciiTheme="minorHAnsi" w:hAnsiTheme="minorHAnsi" w:cstheme="minorHAnsi"/>
          <w:color w:val="auto"/>
          <w:sz w:val="22"/>
          <w:szCs w:val="22"/>
        </w:rPr>
        <w:t xml:space="preserve"> </w:t>
      </w:r>
    </w:p>
    <w:p w14:paraId="19AA3C26" w14:textId="77777777" w:rsidR="008E291F" w:rsidRDefault="008E291F" w:rsidP="0060495A">
      <w:pPr>
        <w:pStyle w:val="Default"/>
        <w:tabs>
          <w:tab w:val="left" w:pos="0"/>
        </w:tabs>
        <w:rPr>
          <w:rFonts w:asciiTheme="minorHAnsi" w:hAnsiTheme="minorHAnsi" w:cstheme="minorHAnsi"/>
          <w:color w:val="auto"/>
          <w:sz w:val="22"/>
          <w:szCs w:val="22"/>
        </w:rPr>
      </w:pPr>
    </w:p>
    <w:p w14:paraId="3895D487" w14:textId="01A62663" w:rsidR="008E291F" w:rsidRPr="00831E3D" w:rsidRDefault="008E291F" w:rsidP="0060495A">
      <w:pPr>
        <w:pStyle w:val="Default"/>
        <w:tabs>
          <w:tab w:val="left" w:pos="0"/>
        </w:tabs>
        <w:rPr>
          <w:rFonts w:asciiTheme="minorHAnsi" w:hAnsiTheme="minorHAnsi" w:cstheme="minorHAnsi"/>
          <w:color w:val="auto"/>
          <w:sz w:val="22"/>
          <w:szCs w:val="22"/>
        </w:rPr>
      </w:pPr>
      <w:r>
        <w:rPr>
          <w:rFonts w:asciiTheme="minorHAnsi" w:hAnsiTheme="minorHAnsi" w:cstheme="minorHAnsi"/>
          <w:color w:val="auto"/>
          <w:sz w:val="22"/>
          <w:szCs w:val="22"/>
        </w:rPr>
        <w:t xml:space="preserve">A pharmacist and prescriber entering into a Collaborative Practice Agreement must follow all rules and regulations as set out in in the State Board of Pharmacy Rules and Regulations 3CCR 719-1, section 17.00.00, Collaborative Pharmacy Practice.  </w:t>
      </w:r>
    </w:p>
    <w:p w14:paraId="0A37501D" w14:textId="77777777" w:rsidR="001967D4" w:rsidRPr="00831E3D" w:rsidRDefault="001967D4" w:rsidP="0060495A">
      <w:pPr>
        <w:pStyle w:val="Default"/>
        <w:tabs>
          <w:tab w:val="left" w:pos="0"/>
        </w:tabs>
        <w:rPr>
          <w:rFonts w:asciiTheme="minorHAnsi" w:hAnsiTheme="minorHAnsi" w:cstheme="minorHAnsi"/>
          <w:color w:val="auto"/>
          <w:sz w:val="22"/>
          <w:szCs w:val="22"/>
        </w:rPr>
      </w:pPr>
    </w:p>
    <w:p w14:paraId="3F2A9A9B" w14:textId="355D3773" w:rsidR="001967D4" w:rsidRPr="00831E3D" w:rsidRDefault="001967D4" w:rsidP="0060495A">
      <w:pPr>
        <w:pStyle w:val="Default"/>
        <w:tabs>
          <w:tab w:val="left" w:pos="0"/>
        </w:tabs>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This document is to serve as a guideline </w:t>
      </w:r>
      <w:r w:rsidR="00506913" w:rsidRPr="00831E3D">
        <w:rPr>
          <w:rFonts w:asciiTheme="minorHAnsi" w:hAnsiTheme="minorHAnsi" w:cstheme="minorHAnsi"/>
          <w:color w:val="auto"/>
          <w:sz w:val="22"/>
          <w:szCs w:val="22"/>
        </w:rPr>
        <w:t>on collaborative practice</w:t>
      </w:r>
      <w:r w:rsidR="00304286" w:rsidRPr="00831E3D">
        <w:rPr>
          <w:rFonts w:asciiTheme="minorHAnsi" w:hAnsiTheme="minorHAnsi" w:cstheme="minorHAnsi"/>
          <w:color w:val="auto"/>
          <w:sz w:val="22"/>
          <w:szCs w:val="22"/>
        </w:rPr>
        <w:t xml:space="preserve"> for </w:t>
      </w:r>
      <w:r w:rsidR="00466C00">
        <w:rPr>
          <w:rFonts w:asciiTheme="minorHAnsi" w:hAnsiTheme="minorHAnsi" w:cstheme="minorHAnsi"/>
          <w:color w:val="auto"/>
          <w:sz w:val="22"/>
          <w:szCs w:val="22"/>
        </w:rPr>
        <w:t xml:space="preserve">hypertension </w:t>
      </w:r>
      <w:r w:rsidR="00466C00" w:rsidRPr="00831E3D">
        <w:rPr>
          <w:rFonts w:asciiTheme="minorHAnsi" w:hAnsiTheme="minorHAnsi" w:cstheme="minorHAnsi"/>
          <w:color w:val="auto"/>
          <w:sz w:val="22"/>
          <w:szCs w:val="22"/>
        </w:rPr>
        <w:t>management</w:t>
      </w:r>
      <w:r w:rsidR="00CB6290">
        <w:rPr>
          <w:rFonts w:asciiTheme="minorHAnsi" w:hAnsiTheme="minorHAnsi" w:cstheme="minorHAnsi"/>
          <w:color w:val="auto"/>
          <w:sz w:val="22"/>
          <w:szCs w:val="22"/>
        </w:rPr>
        <w:t>;</w:t>
      </w:r>
      <w:r w:rsidR="0060495A">
        <w:rPr>
          <w:rFonts w:asciiTheme="minorHAnsi" w:hAnsiTheme="minorHAnsi" w:cstheme="minorHAnsi"/>
          <w:color w:val="auto"/>
          <w:sz w:val="22"/>
          <w:szCs w:val="22"/>
        </w:rPr>
        <w:t xml:space="preserve"> i</w:t>
      </w:r>
      <w:r w:rsidRPr="00831E3D">
        <w:rPr>
          <w:rFonts w:asciiTheme="minorHAnsi" w:hAnsiTheme="minorHAnsi" w:cstheme="minorHAnsi"/>
          <w:color w:val="auto"/>
          <w:sz w:val="22"/>
          <w:szCs w:val="22"/>
        </w:rPr>
        <w:t>t is not intended to encompass all aspects of therapy management. Clinical judgment and consideration of individual patient characteristics should be included when making decisions regarding patient care.</w:t>
      </w:r>
    </w:p>
    <w:p w14:paraId="779221F6" w14:textId="77777777" w:rsidR="00506913" w:rsidRPr="00831E3D" w:rsidRDefault="00506913" w:rsidP="00BB63C2">
      <w:pPr>
        <w:widowControl w:val="0"/>
        <w:autoSpaceDE w:val="0"/>
        <w:autoSpaceDN w:val="0"/>
        <w:adjustRightInd w:val="0"/>
        <w:spacing w:after="0"/>
        <w:rPr>
          <w:rFonts w:asciiTheme="minorHAnsi" w:hAnsiTheme="minorHAnsi" w:cstheme="minorHAnsi"/>
          <w:b/>
          <w:color w:val="000000"/>
          <w:sz w:val="22"/>
          <w:szCs w:val="22"/>
        </w:rPr>
      </w:pPr>
    </w:p>
    <w:p w14:paraId="47953301" w14:textId="7E7ABA7E" w:rsidR="001967D4" w:rsidRPr="00831E3D" w:rsidRDefault="00506913" w:rsidP="00BB63C2">
      <w:pPr>
        <w:widowControl w:val="0"/>
        <w:autoSpaceDE w:val="0"/>
        <w:autoSpaceDN w:val="0"/>
        <w:adjustRightInd w:val="0"/>
        <w:spacing w:after="0"/>
        <w:rPr>
          <w:rFonts w:asciiTheme="minorHAnsi" w:hAnsiTheme="minorHAnsi" w:cstheme="minorHAnsi"/>
          <w:b/>
          <w:color w:val="000000"/>
          <w:sz w:val="22"/>
          <w:szCs w:val="22"/>
          <w:u w:val="single"/>
        </w:rPr>
      </w:pPr>
      <w:r w:rsidRPr="00831E3D">
        <w:rPr>
          <w:rFonts w:asciiTheme="minorHAnsi" w:hAnsiTheme="minorHAnsi" w:cstheme="minorHAnsi"/>
          <w:b/>
          <w:color w:val="000000"/>
          <w:sz w:val="22"/>
          <w:szCs w:val="22"/>
        </w:rPr>
        <w:t>B</w:t>
      </w:r>
      <w:r w:rsidR="001967D4" w:rsidRPr="00831E3D">
        <w:rPr>
          <w:rFonts w:asciiTheme="minorHAnsi" w:hAnsiTheme="minorHAnsi" w:cstheme="minorHAnsi"/>
          <w:b/>
          <w:color w:val="000000"/>
          <w:sz w:val="22"/>
          <w:szCs w:val="22"/>
        </w:rPr>
        <w:t>.</w:t>
      </w:r>
      <w:r w:rsidR="001967D4" w:rsidRPr="00831E3D">
        <w:rPr>
          <w:rFonts w:asciiTheme="minorHAnsi" w:hAnsiTheme="minorHAnsi" w:cstheme="minorHAnsi"/>
          <w:color w:val="000000"/>
          <w:sz w:val="22"/>
          <w:szCs w:val="22"/>
        </w:rPr>
        <w:t xml:space="preserve">  </w:t>
      </w:r>
      <w:r w:rsidR="00F47F33" w:rsidRPr="00831E3D">
        <w:rPr>
          <w:rFonts w:asciiTheme="minorHAnsi" w:hAnsiTheme="minorHAnsi" w:cstheme="minorHAnsi"/>
          <w:b/>
          <w:color w:val="000000"/>
          <w:sz w:val="22"/>
          <w:szCs w:val="22"/>
          <w:u w:val="single"/>
        </w:rPr>
        <w:t xml:space="preserve">Authority </w:t>
      </w:r>
    </w:p>
    <w:p w14:paraId="6293732B" w14:textId="5F38B827" w:rsidR="0084371F" w:rsidRPr="00831E3D" w:rsidRDefault="00424291" w:rsidP="004D2870">
      <w:pPr>
        <w:pStyle w:val="MediumGrid1-Accent21"/>
        <w:widowControl w:val="0"/>
        <w:numPr>
          <w:ilvl w:val="0"/>
          <w:numId w:val="2"/>
        </w:numPr>
        <w:autoSpaceDE w:val="0"/>
        <w:autoSpaceDN w:val="0"/>
        <w:adjustRightInd w:val="0"/>
        <w:spacing w:after="0"/>
        <w:rPr>
          <w:rFonts w:asciiTheme="minorHAnsi" w:hAnsiTheme="minorHAnsi" w:cstheme="minorHAnsi"/>
          <w:color w:val="000000"/>
          <w:sz w:val="22"/>
          <w:szCs w:val="22"/>
        </w:rPr>
      </w:pPr>
      <w:r>
        <w:rPr>
          <w:rFonts w:asciiTheme="minorHAnsi" w:hAnsiTheme="minorHAnsi" w:cstheme="minorHAnsi"/>
          <w:color w:val="000000"/>
          <w:sz w:val="22"/>
          <w:szCs w:val="22"/>
        </w:rPr>
        <w:t>P</w:t>
      </w:r>
      <w:r w:rsidR="0084371F" w:rsidRPr="00831E3D">
        <w:rPr>
          <w:rFonts w:asciiTheme="minorHAnsi" w:hAnsiTheme="minorHAnsi" w:cstheme="minorHAnsi"/>
          <w:color w:val="000000"/>
          <w:sz w:val="22"/>
          <w:szCs w:val="22"/>
        </w:rPr>
        <w:t xml:space="preserve">harmacists participating in collaborative practice will meet minimum competency requirements as outlined in Rule 17.00.30. </w:t>
      </w:r>
    </w:p>
    <w:p w14:paraId="66327163" w14:textId="77777777" w:rsidR="0084371F"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The pharmacist holds a current license to practice in Colorado;</w:t>
      </w:r>
    </w:p>
    <w:p w14:paraId="74E29DE3" w14:textId="28C3B7AC" w:rsidR="0084371F"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 xml:space="preserve">The pharmacist is engaged in the practice of pharmacy; </w:t>
      </w:r>
    </w:p>
    <w:p w14:paraId="14D0DBCA" w14:textId="5942DB44" w:rsidR="0084371F"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The pharmacist has earned a Doctor of Pharmacy degree or completed at least five (5) years of experience as a licensed pharmacist</w:t>
      </w:r>
    </w:p>
    <w:p w14:paraId="0FF6B035" w14:textId="77777777" w:rsidR="00D26314"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The pharmacist agrees to devote a portion of his or her practice to collaborative pharmacy practice;</w:t>
      </w:r>
    </w:p>
    <w:p w14:paraId="465CDBF3" w14:textId="77777777" w:rsidR="00D26314"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 xml:space="preserve">There is a process in place for the physician, advanced practice registered nurse, and pharmacist to communicate and document changes to the patient’s medical record; and </w:t>
      </w:r>
    </w:p>
    <w:p w14:paraId="5ECAF689" w14:textId="68B36CAB" w:rsidR="0084371F"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The pharmacist carries adequate professional liability insurance in coverage of at least $1,000,000 per incident and at least $3,000,000 in aggregate.</w:t>
      </w:r>
    </w:p>
    <w:p w14:paraId="5845C34B" w14:textId="5378FA93" w:rsidR="0084371F" w:rsidRPr="00831E3D" w:rsidRDefault="0084371F" w:rsidP="004D2870">
      <w:pPr>
        <w:pStyle w:val="MediumGrid1-Accent21"/>
        <w:widowControl w:val="0"/>
        <w:numPr>
          <w:ilvl w:val="0"/>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“Prescriber”, for the purpose of this Board Rule 17.00.00, means a physician who is actively and unconditionally licensed by the Colorado Medical Board or an advanced practice registered nurse with prescriptive authority who is actively and unconditionally licensed by the Colorado State Board of Nursing.</w:t>
      </w:r>
      <w:r w:rsidR="00D26314" w:rsidRPr="00831E3D">
        <w:rPr>
          <w:rFonts w:asciiTheme="minorHAnsi" w:hAnsiTheme="minorHAnsi" w:cstheme="minorHAnsi"/>
          <w:color w:val="000000"/>
          <w:sz w:val="22"/>
          <w:szCs w:val="22"/>
        </w:rPr>
        <w:t xml:space="preserve"> The prescriber must have an established relationship with the patient or patients who will be served by the pharmacist</w:t>
      </w:r>
      <w:r w:rsidR="00F47F33" w:rsidRPr="00831E3D">
        <w:rPr>
          <w:rFonts w:asciiTheme="minorHAnsi" w:hAnsiTheme="minorHAnsi" w:cstheme="minorHAnsi"/>
          <w:color w:val="000000"/>
          <w:sz w:val="22"/>
          <w:szCs w:val="22"/>
        </w:rPr>
        <w:t>(s)</w:t>
      </w:r>
      <w:r w:rsidR="00D26314" w:rsidRPr="00831E3D">
        <w:rPr>
          <w:rFonts w:asciiTheme="minorHAnsi" w:hAnsiTheme="minorHAnsi" w:cstheme="minorHAnsi"/>
          <w:color w:val="000000"/>
          <w:sz w:val="22"/>
          <w:szCs w:val="22"/>
        </w:rPr>
        <w:t xml:space="preserve"> under the collaborative pharmacy practice agreement</w:t>
      </w:r>
      <w:r w:rsidR="00F47F33" w:rsidRPr="00831E3D">
        <w:rPr>
          <w:rFonts w:asciiTheme="minorHAnsi" w:hAnsiTheme="minorHAnsi" w:cstheme="minorHAnsi"/>
          <w:color w:val="000000"/>
          <w:sz w:val="22"/>
          <w:szCs w:val="22"/>
        </w:rPr>
        <w:t xml:space="preserve">. </w:t>
      </w:r>
      <w:r w:rsidR="009829A0" w:rsidRPr="00831E3D">
        <w:rPr>
          <w:rFonts w:asciiTheme="minorHAnsi" w:hAnsiTheme="minorHAnsi" w:cstheme="minorHAnsi"/>
          <w:color w:val="000000"/>
          <w:sz w:val="22"/>
          <w:szCs w:val="22"/>
        </w:rPr>
        <w:t xml:space="preserve">Any Physician </w:t>
      </w:r>
      <w:r w:rsidR="00117536" w:rsidRPr="00831E3D">
        <w:rPr>
          <w:rFonts w:asciiTheme="minorHAnsi" w:hAnsiTheme="minorHAnsi" w:cstheme="minorHAnsi"/>
          <w:color w:val="000000"/>
          <w:sz w:val="22"/>
          <w:szCs w:val="22"/>
        </w:rPr>
        <w:t>Assistant who</w:t>
      </w:r>
      <w:r w:rsidR="009829A0" w:rsidRPr="00831E3D">
        <w:rPr>
          <w:rFonts w:asciiTheme="minorHAnsi" w:hAnsiTheme="minorHAnsi" w:cstheme="minorHAnsi"/>
          <w:color w:val="000000"/>
          <w:sz w:val="22"/>
          <w:szCs w:val="22"/>
        </w:rPr>
        <w:t xml:space="preserve"> </w:t>
      </w:r>
      <w:r w:rsidR="00117536">
        <w:rPr>
          <w:rFonts w:asciiTheme="minorHAnsi" w:hAnsiTheme="minorHAnsi" w:cstheme="minorHAnsi"/>
          <w:color w:val="000000"/>
          <w:sz w:val="22"/>
          <w:szCs w:val="22"/>
        </w:rPr>
        <w:t>may wish</w:t>
      </w:r>
      <w:r w:rsidR="00117536" w:rsidRPr="00831E3D">
        <w:rPr>
          <w:rFonts w:asciiTheme="minorHAnsi" w:hAnsiTheme="minorHAnsi" w:cstheme="minorHAnsi"/>
          <w:color w:val="000000"/>
          <w:sz w:val="22"/>
          <w:szCs w:val="22"/>
        </w:rPr>
        <w:t xml:space="preserve"> </w:t>
      </w:r>
      <w:r w:rsidR="009829A0" w:rsidRPr="00831E3D">
        <w:rPr>
          <w:rFonts w:asciiTheme="minorHAnsi" w:hAnsiTheme="minorHAnsi" w:cstheme="minorHAnsi"/>
          <w:color w:val="000000"/>
          <w:sz w:val="22"/>
          <w:szCs w:val="22"/>
        </w:rPr>
        <w:t xml:space="preserve">to participate in collaborative practice must do so under the authority of their supervising physician. </w:t>
      </w:r>
    </w:p>
    <w:p w14:paraId="5C29DAFE" w14:textId="2B3C70B7" w:rsidR="00327D29" w:rsidRPr="00831E3D" w:rsidRDefault="00327D29" w:rsidP="004D2870">
      <w:pPr>
        <w:pStyle w:val="MediumGrid1-Accent21"/>
        <w:widowControl w:val="0"/>
        <w:numPr>
          <w:ilvl w:val="0"/>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bCs/>
          <w:color w:val="000000"/>
          <w:sz w:val="22"/>
          <w:szCs w:val="22"/>
        </w:rPr>
        <w:lastRenderedPageBreak/>
        <w:t>The participating pharmacists</w:t>
      </w:r>
      <w:r w:rsidR="00F47F33" w:rsidRPr="00831E3D">
        <w:rPr>
          <w:rFonts w:asciiTheme="minorHAnsi" w:hAnsiTheme="minorHAnsi" w:cstheme="minorHAnsi"/>
          <w:bCs/>
          <w:color w:val="000000"/>
          <w:sz w:val="22"/>
          <w:szCs w:val="22"/>
        </w:rPr>
        <w:t xml:space="preserve"> and prescribers</w:t>
      </w:r>
      <w:r w:rsidRPr="00831E3D">
        <w:rPr>
          <w:rFonts w:asciiTheme="minorHAnsi" w:hAnsiTheme="minorHAnsi" w:cstheme="minorHAnsi"/>
          <w:bCs/>
          <w:color w:val="000000"/>
          <w:sz w:val="22"/>
          <w:szCs w:val="22"/>
        </w:rPr>
        <w:t xml:space="preserve"> are listed at the end of this document. </w:t>
      </w:r>
    </w:p>
    <w:p w14:paraId="0440C860" w14:textId="77777777" w:rsidR="00F47F33" w:rsidRPr="00831E3D" w:rsidRDefault="00F47F33" w:rsidP="00F47F33">
      <w:pPr>
        <w:pStyle w:val="MediumGrid1-Accent21"/>
        <w:widowControl w:val="0"/>
        <w:autoSpaceDE w:val="0"/>
        <w:autoSpaceDN w:val="0"/>
        <w:adjustRightInd w:val="0"/>
        <w:spacing w:after="0"/>
        <w:rPr>
          <w:rFonts w:asciiTheme="minorHAnsi" w:hAnsiTheme="minorHAnsi" w:cstheme="minorHAnsi"/>
          <w:bCs/>
          <w:color w:val="000000"/>
          <w:sz w:val="22"/>
          <w:szCs w:val="22"/>
        </w:rPr>
      </w:pPr>
    </w:p>
    <w:p w14:paraId="16D6E3CA" w14:textId="728B93A2" w:rsidR="00F47F33" w:rsidRPr="00831E3D" w:rsidRDefault="00F47F33" w:rsidP="00F47F33">
      <w:pPr>
        <w:widowControl w:val="0"/>
        <w:autoSpaceDE w:val="0"/>
        <w:autoSpaceDN w:val="0"/>
        <w:adjustRightInd w:val="0"/>
        <w:spacing w:after="0"/>
        <w:rPr>
          <w:rFonts w:asciiTheme="minorHAnsi" w:hAnsiTheme="minorHAnsi" w:cstheme="minorHAnsi"/>
          <w:b/>
          <w:color w:val="000000"/>
          <w:sz w:val="22"/>
          <w:szCs w:val="22"/>
          <w:u w:val="single"/>
        </w:rPr>
      </w:pPr>
      <w:r w:rsidRPr="00831E3D">
        <w:rPr>
          <w:rFonts w:asciiTheme="minorHAnsi" w:hAnsiTheme="minorHAnsi" w:cstheme="minorHAnsi"/>
          <w:b/>
          <w:color w:val="000000"/>
          <w:sz w:val="22"/>
          <w:szCs w:val="22"/>
        </w:rPr>
        <w:t>C.</w:t>
      </w:r>
      <w:r w:rsidRPr="00831E3D">
        <w:rPr>
          <w:rFonts w:asciiTheme="minorHAnsi" w:hAnsiTheme="minorHAnsi" w:cstheme="minorHAnsi"/>
          <w:color w:val="000000"/>
          <w:sz w:val="22"/>
          <w:szCs w:val="22"/>
        </w:rPr>
        <w:t xml:space="preserve">  </w:t>
      </w:r>
      <w:r w:rsidRPr="00831E3D">
        <w:rPr>
          <w:rFonts w:asciiTheme="minorHAnsi" w:hAnsiTheme="minorHAnsi" w:cstheme="minorHAnsi"/>
          <w:b/>
          <w:color w:val="000000"/>
          <w:sz w:val="22"/>
          <w:szCs w:val="22"/>
          <w:u w:val="single"/>
        </w:rPr>
        <w:t xml:space="preserve">Pharmacist Activities </w:t>
      </w:r>
    </w:p>
    <w:p w14:paraId="207687B9" w14:textId="77777777" w:rsidR="009829A0" w:rsidRPr="00831E3D" w:rsidRDefault="009829A0" w:rsidP="004D2870">
      <w:pPr>
        <w:pStyle w:val="MediumGrid1-Accent21"/>
        <w:widowControl w:val="0"/>
        <w:numPr>
          <w:ilvl w:val="0"/>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sz w:val="22"/>
          <w:szCs w:val="22"/>
        </w:rPr>
        <w:t>Prescriber and Pharmacist Interactions</w:t>
      </w:r>
    </w:p>
    <w:p w14:paraId="7E41756E" w14:textId="595F5D53" w:rsidR="009829A0" w:rsidRPr="00831E3D" w:rsidRDefault="009829A0" w:rsidP="004D2870">
      <w:pPr>
        <w:pStyle w:val="MediumGrid1-Accent21"/>
        <w:widowControl w:val="0"/>
        <w:numPr>
          <w:ilvl w:val="1"/>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sz w:val="22"/>
          <w:szCs w:val="22"/>
        </w:rPr>
        <w:t xml:space="preserve">The </w:t>
      </w:r>
      <w:r w:rsidR="00424291">
        <w:rPr>
          <w:rFonts w:asciiTheme="minorHAnsi" w:hAnsiTheme="minorHAnsi" w:cstheme="minorHAnsi"/>
          <w:sz w:val="22"/>
          <w:szCs w:val="22"/>
        </w:rPr>
        <w:t>prescriber</w:t>
      </w:r>
      <w:r w:rsidRPr="00831E3D">
        <w:rPr>
          <w:rFonts w:asciiTheme="minorHAnsi" w:hAnsiTheme="minorHAnsi" w:cstheme="minorHAnsi"/>
          <w:sz w:val="22"/>
          <w:szCs w:val="22"/>
        </w:rPr>
        <w:t xml:space="preserve"> will “refer” a patient for Collaborative Practice </w:t>
      </w:r>
      <w:r w:rsidR="00455CBE" w:rsidRPr="00831E3D">
        <w:rPr>
          <w:rFonts w:asciiTheme="minorHAnsi" w:hAnsiTheme="minorHAnsi" w:cstheme="minorHAnsi"/>
          <w:sz w:val="22"/>
          <w:szCs w:val="22"/>
        </w:rPr>
        <w:t>services.</w:t>
      </w:r>
    </w:p>
    <w:p w14:paraId="30430A21" w14:textId="77777777" w:rsidR="009829A0" w:rsidRPr="00831E3D" w:rsidRDefault="009829A0" w:rsidP="004D2870">
      <w:pPr>
        <w:pStyle w:val="MediumGrid1-Accent21"/>
        <w:widowControl w:val="0"/>
        <w:numPr>
          <w:ilvl w:val="2"/>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sz w:val="22"/>
          <w:szCs w:val="22"/>
        </w:rPr>
        <w:t>This “referral” constitutes an “order” per Colorado Rule 17</w:t>
      </w:r>
    </w:p>
    <w:p w14:paraId="16E84F8F" w14:textId="77777777" w:rsidR="009829A0" w:rsidRPr="00831E3D" w:rsidRDefault="009829A0" w:rsidP="004D2870">
      <w:pPr>
        <w:pStyle w:val="MediumGrid1-Accent21"/>
        <w:widowControl w:val="0"/>
        <w:numPr>
          <w:ilvl w:val="2"/>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sz w:val="22"/>
          <w:szCs w:val="22"/>
        </w:rPr>
        <w:t>This referral may come in multiple forms. The following are considered a referral for Collaborative Practice Activities</w:t>
      </w:r>
    </w:p>
    <w:p w14:paraId="6940E3EF" w14:textId="77777777" w:rsidR="009829A0" w:rsidRPr="00831E3D" w:rsidRDefault="009829A0" w:rsidP="004D2870">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sz w:val="22"/>
          <w:szCs w:val="22"/>
        </w:rPr>
        <w:t xml:space="preserve">A verbal order from the prescriber or prescriber’s delegate </w:t>
      </w:r>
    </w:p>
    <w:p w14:paraId="7975307F" w14:textId="77777777" w:rsidR="009829A0" w:rsidRPr="00831E3D" w:rsidRDefault="009829A0" w:rsidP="004D2870">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A written order from the prescriber</w:t>
      </w:r>
    </w:p>
    <w:p w14:paraId="1FD26ED3" w14:textId="38B34636" w:rsidR="009829A0" w:rsidRPr="00831E3D" w:rsidRDefault="009829A0" w:rsidP="004D2870">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 xml:space="preserve">A note in the chart requesting follow up with a pharmacist for CPA activities and sent via [fax, secure message, etc.] to the </w:t>
      </w:r>
      <w:r w:rsidR="00F361A5" w:rsidRPr="00831E3D">
        <w:rPr>
          <w:rFonts w:asciiTheme="minorHAnsi" w:hAnsiTheme="minorHAnsi" w:cstheme="minorHAnsi"/>
          <w:bCs/>
          <w:color w:val="000000"/>
          <w:sz w:val="22"/>
          <w:szCs w:val="22"/>
        </w:rPr>
        <w:t>pharmacist.</w:t>
      </w:r>
      <w:r w:rsidRPr="00831E3D">
        <w:rPr>
          <w:rFonts w:asciiTheme="minorHAnsi" w:hAnsiTheme="minorHAnsi" w:cstheme="minorHAnsi"/>
          <w:bCs/>
          <w:color w:val="000000"/>
          <w:sz w:val="22"/>
          <w:szCs w:val="22"/>
        </w:rPr>
        <w:t xml:space="preserve"> </w:t>
      </w:r>
    </w:p>
    <w:p w14:paraId="66F263B3" w14:textId="3F53672A" w:rsidR="009829A0" w:rsidRPr="00831E3D" w:rsidRDefault="009829A0" w:rsidP="004D2870">
      <w:pPr>
        <w:pStyle w:val="Default"/>
        <w:widowControl/>
        <w:numPr>
          <w:ilvl w:val="1"/>
          <w:numId w:val="3"/>
        </w:numPr>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All CPA visits will be documented via SOAP note and be </w:t>
      </w:r>
      <w:r w:rsidR="00B95EA8">
        <w:rPr>
          <w:rFonts w:asciiTheme="minorHAnsi" w:hAnsiTheme="minorHAnsi" w:cstheme="minorHAnsi"/>
          <w:color w:val="auto"/>
          <w:sz w:val="22"/>
          <w:szCs w:val="22"/>
        </w:rPr>
        <w:t xml:space="preserve">communicated to the referring provider </w:t>
      </w:r>
      <w:r w:rsidRPr="00831E3D">
        <w:rPr>
          <w:rFonts w:asciiTheme="minorHAnsi" w:hAnsiTheme="minorHAnsi" w:cstheme="minorHAnsi"/>
          <w:color w:val="auto"/>
          <w:sz w:val="22"/>
          <w:szCs w:val="22"/>
        </w:rPr>
        <w:t>[</w:t>
      </w:r>
      <w:r w:rsidR="00B95EA8" w:rsidRPr="00831E3D">
        <w:rPr>
          <w:rFonts w:asciiTheme="minorHAnsi" w:hAnsiTheme="minorHAnsi" w:cstheme="minorHAnsi"/>
          <w:color w:val="auto"/>
          <w:sz w:val="22"/>
          <w:szCs w:val="22"/>
        </w:rPr>
        <w:t>available in a shared medical record</w:t>
      </w:r>
      <w:r w:rsidR="00B95EA8">
        <w:rPr>
          <w:rFonts w:asciiTheme="minorHAnsi" w:hAnsiTheme="minorHAnsi" w:cstheme="minorHAnsi"/>
          <w:color w:val="auto"/>
          <w:sz w:val="22"/>
          <w:szCs w:val="22"/>
        </w:rPr>
        <w:t xml:space="preserve">, </w:t>
      </w:r>
      <w:r w:rsidRPr="00831E3D">
        <w:rPr>
          <w:rFonts w:asciiTheme="minorHAnsi" w:hAnsiTheme="minorHAnsi" w:cstheme="minorHAnsi"/>
          <w:color w:val="auto"/>
          <w:sz w:val="22"/>
          <w:szCs w:val="22"/>
        </w:rPr>
        <w:t>faxed, sent via secure messaging, etc.] within 24 hours</w:t>
      </w:r>
      <w:r w:rsidR="00784822" w:rsidRPr="00831E3D">
        <w:rPr>
          <w:rFonts w:asciiTheme="minorHAnsi" w:hAnsiTheme="minorHAnsi" w:cstheme="minorHAnsi"/>
          <w:color w:val="auto"/>
          <w:sz w:val="22"/>
          <w:szCs w:val="22"/>
        </w:rPr>
        <w:t xml:space="preserve">. </w:t>
      </w:r>
      <w:r w:rsidR="00784822" w:rsidRPr="00831E3D">
        <w:rPr>
          <w:rFonts w:asciiTheme="minorHAnsi" w:hAnsiTheme="minorHAnsi" w:cstheme="minorHAnsi"/>
          <w:sz w:val="22"/>
          <w:szCs w:val="22"/>
        </w:rPr>
        <w:t>The notes will be signed by the pharmacist</w:t>
      </w:r>
      <w:r w:rsidR="00784822" w:rsidRPr="00831E3D">
        <w:rPr>
          <w:rFonts w:asciiTheme="minorHAnsi" w:hAnsiTheme="minorHAnsi" w:cstheme="minorHAnsi"/>
          <w:iCs/>
          <w:sz w:val="22"/>
          <w:szCs w:val="22"/>
        </w:rPr>
        <w:t>.</w:t>
      </w:r>
    </w:p>
    <w:p w14:paraId="7BE7BC11" w14:textId="518F1E86" w:rsidR="009829A0" w:rsidRPr="00831E3D" w:rsidRDefault="009829A0" w:rsidP="004D2870">
      <w:pPr>
        <w:pStyle w:val="MediumGrid1-Accent21"/>
        <w:widowControl w:val="0"/>
        <w:numPr>
          <w:ilvl w:val="1"/>
          <w:numId w:val="3"/>
        </w:numPr>
        <w:autoSpaceDE w:val="0"/>
        <w:autoSpaceDN w:val="0"/>
        <w:adjustRightInd w:val="0"/>
        <w:spacing w:after="0"/>
        <w:rPr>
          <w:rFonts w:asciiTheme="minorHAnsi" w:hAnsiTheme="minorHAnsi" w:cstheme="minorHAnsi"/>
          <w:sz w:val="22"/>
          <w:szCs w:val="22"/>
        </w:rPr>
      </w:pPr>
      <w:r w:rsidRPr="00831E3D">
        <w:rPr>
          <w:rFonts w:asciiTheme="minorHAnsi" w:hAnsiTheme="minorHAnsi" w:cstheme="minorHAnsi"/>
          <w:sz w:val="22"/>
          <w:szCs w:val="22"/>
        </w:rPr>
        <w:t xml:space="preserve">The pharmacist will clearly document medication changes </w:t>
      </w:r>
    </w:p>
    <w:p w14:paraId="30019842" w14:textId="09EC0E37" w:rsidR="00784822" w:rsidRPr="00831E3D" w:rsidRDefault="00784822" w:rsidP="004D2870">
      <w:pPr>
        <w:pStyle w:val="ListParagraph"/>
        <w:numPr>
          <w:ilvl w:val="1"/>
          <w:numId w:val="3"/>
        </w:numPr>
        <w:rPr>
          <w:rFonts w:asciiTheme="minorHAnsi" w:hAnsiTheme="minorHAnsi" w:cstheme="minorHAnsi"/>
          <w:color w:val="000000"/>
        </w:rPr>
      </w:pPr>
      <w:r w:rsidRPr="00831E3D">
        <w:rPr>
          <w:rFonts w:asciiTheme="minorHAnsi" w:hAnsiTheme="minorHAnsi" w:cstheme="minorHAnsi"/>
          <w:iCs/>
        </w:rPr>
        <w:t>All orders/prescriptions will be written according to the current accepted medical standard and signed by the pharmacist, sent under the prescriber’s name.</w:t>
      </w:r>
    </w:p>
    <w:p w14:paraId="0426C38D" w14:textId="77777777" w:rsidR="009829A0" w:rsidRPr="00831E3D" w:rsidRDefault="009829A0" w:rsidP="004D2870">
      <w:pPr>
        <w:pStyle w:val="MediumGrid1-Accent21"/>
        <w:widowControl w:val="0"/>
        <w:numPr>
          <w:ilvl w:val="1"/>
          <w:numId w:val="3"/>
        </w:numPr>
        <w:autoSpaceDE w:val="0"/>
        <w:autoSpaceDN w:val="0"/>
        <w:adjustRightInd w:val="0"/>
        <w:spacing w:after="0"/>
        <w:rPr>
          <w:rFonts w:asciiTheme="minorHAnsi" w:hAnsiTheme="minorHAnsi" w:cstheme="minorHAnsi"/>
          <w:sz w:val="22"/>
          <w:szCs w:val="22"/>
        </w:rPr>
      </w:pPr>
      <w:r w:rsidRPr="00831E3D">
        <w:rPr>
          <w:rFonts w:asciiTheme="minorHAnsi" w:hAnsiTheme="minorHAnsi" w:cstheme="minorHAnsi"/>
          <w:sz w:val="22"/>
          <w:szCs w:val="22"/>
        </w:rPr>
        <w:t>Medication changes do not need to be approved by provider unless a specific CPA is not followed</w:t>
      </w:r>
    </w:p>
    <w:p w14:paraId="0CE2404B" w14:textId="2EB6535D" w:rsidR="009829A0" w:rsidRPr="00831E3D" w:rsidRDefault="009829A0" w:rsidP="004D2870">
      <w:pPr>
        <w:pStyle w:val="Default"/>
        <w:widowControl/>
        <w:numPr>
          <w:ilvl w:val="1"/>
          <w:numId w:val="3"/>
        </w:numPr>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The provider may override any decision made by </w:t>
      </w:r>
      <w:r w:rsidR="005E2CD8">
        <w:rPr>
          <w:rFonts w:asciiTheme="minorHAnsi" w:hAnsiTheme="minorHAnsi" w:cstheme="minorHAnsi"/>
          <w:color w:val="auto"/>
          <w:sz w:val="22"/>
          <w:szCs w:val="22"/>
        </w:rPr>
        <w:t xml:space="preserve">the </w:t>
      </w:r>
      <w:r w:rsidRPr="00831E3D">
        <w:rPr>
          <w:rFonts w:asciiTheme="minorHAnsi" w:hAnsiTheme="minorHAnsi" w:cstheme="minorHAnsi"/>
          <w:color w:val="auto"/>
          <w:sz w:val="22"/>
          <w:szCs w:val="22"/>
        </w:rPr>
        <w:t>pharmacist</w:t>
      </w:r>
    </w:p>
    <w:p w14:paraId="2510339E" w14:textId="77777777" w:rsidR="00455CBE" w:rsidRPr="00831E3D" w:rsidRDefault="00455CBE" w:rsidP="004D2870">
      <w:pPr>
        <w:pStyle w:val="Default"/>
        <w:numPr>
          <w:ilvl w:val="1"/>
          <w:numId w:val="3"/>
        </w:numPr>
        <w:rPr>
          <w:rFonts w:asciiTheme="minorHAnsi" w:hAnsiTheme="minorHAnsi" w:cstheme="minorHAnsi"/>
          <w:sz w:val="22"/>
          <w:szCs w:val="22"/>
        </w:rPr>
      </w:pPr>
      <w:r w:rsidRPr="00831E3D">
        <w:rPr>
          <w:rFonts w:asciiTheme="minorHAnsi" w:hAnsiTheme="minorHAnsi" w:cstheme="minorHAnsi"/>
          <w:sz w:val="22"/>
          <w:szCs w:val="22"/>
        </w:rPr>
        <w:t xml:space="preserve">Urgent Communications </w:t>
      </w:r>
    </w:p>
    <w:p w14:paraId="7999017F" w14:textId="049F243C" w:rsidR="00455CBE" w:rsidRPr="00831E3D" w:rsidRDefault="00455CBE" w:rsidP="004D2870">
      <w:pPr>
        <w:pStyle w:val="Default"/>
        <w:numPr>
          <w:ilvl w:val="2"/>
          <w:numId w:val="3"/>
        </w:numPr>
        <w:rPr>
          <w:rFonts w:asciiTheme="minorHAnsi" w:hAnsiTheme="minorHAnsi" w:cstheme="minorHAnsi"/>
          <w:sz w:val="22"/>
          <w:szCs w:val="22"/>
        </w:rPr>
      </w:pPr>
      <w:r w:rsidRPr="00831E3D">
        <w:rPr>
          <w:rFonts w:asciiTheme="minorHAnsi" w:hAnsiTheme="minorHAnsi" w:cstheme="minorHAnsi"/>
          <w:sz w:val="22"/>
          <w:szCs w:val="22"/>
        </w:rPr>
        <w:t xml:space="preserve">Allergic/Adverse Reactions: All adverse and allergic reactions will be clearly documented in </w:t>
      </w:r>
      <w:r w:rsidR="00E577EA">
        <w:rPr>
          <w:rFonts w:asciiTheme="minorHAnsi" w:hAnsiTheme="minorHAnsi" w:cstheme="minorHAnsi"/>
          <w:sz w:val="22"/>
          <w:szCs w:val="22"/>
        </w:rPr>
        <w:t>a</w:t>
      </w:r>
      <w:r w:rsidR="00E577EA" w:rsidRPr="00831E3D">
        <w:rPr>
          <w:rFonts w:asciiTheme="minorHAnsi" w:hAnsiTheme="minorHAnsi" w:cstheme="minorHAnsi"/>
          <w:sz w:val="22"/>
          <w:szCs w:val="22"/>
        </w:rPr>
        <w:t xml:space="preserve"> </w:t>
      </w:r>
      <w:r w:rsidRPr="00831E3D">
        <w:rPr>
          <w:rFonts w:asciiTheme="minorHAnsi" w:hAnsiTheme="minorHAnsi" w:cstheme="minorHAnsi"/>
          <w:sz w:val="22"/>
          <w:szCs w:val="22"/>
        </w:rPr>
        <w:t>SOAP note</w:t>
      </w:r>
      <w:r w:rsidR="00002725" w:rsidRPr="00831E3D">
        <w:rPr>
          <w:rFonts w:asciiTheme="minorHAnsi" w:hAnsiTheme="minorHAnsi" w:cstheme="minorHAnsi"/>
          <w:sz w:val="22"/>
          <w:szCs w:val="22"/>
        </w:rPr>
        <w:t xml:space="preserve">. </w:t>
      </w:r>
      <w:r w:rsidRPr="00831E3D">
        <w:rPr>
          <w:rFonts w:asciiTheme="minorHAnsi" w:hAnsiTheme="minorHAnsi" w:cstheme="minorHAnsi"/>
          <w:sz w:val="22"/>
          <w:szCs w:val="22"/>
        </w:rPr>
        <w:t>If urgent follow-up is clinically necessary, patient will be referred to an acute care provider</w:t>
      </w:r>
      <w:r w:rsidR="00002725" w:rsidRPr="00831E3D">
        <w:rPr>
          <w:rFonts w:asciiTheme="minorHAnsi" w:hAnsiTheme="minorHAnsi" w:cstheme="minorHAnsi"/>
          <w:sz w:val="22"/>
          <w:szCs w:val="22"/>
        </w:rPr>
        <w:t xml:space="preserve"> either via primary care, urgent care, or the emergency room, depending on severity. </w:t>
      </w:r>
      <w:r w:rsidRPr="00831E3D">
        <w:rPr>
          <w:rFonts w:asciiTheme="minorHAnsi" w:hAnsiTheme="minorHAnsi" w:cstheme="minorHAnsi"/>
          <w:sz w:val="22"/>
          <w:szCs w:val="22"/>
        </w:rPr>
        <w:t xml:space="preserve"> </w:t>
      </w:r>
    </w:p>
    <w:p w14:paraId="7DDB61D0" w14:textId="18DE7E28" w:rsidR="00455CBE" w:rsidRPr="00831E3D" w:rsidRDefault="00455CBE" w:rsidP="004D2870">
      <w:pPr>
        <w:pStyle w:val="Default"/>
        <w:numPr>
          <w:ilvl w:val="2"/>
          <w:numId w:val="3"/>
        </w:numPr>
        <w:rPr>
          <w:rFonts w:asciiTheme="minorHAnsi" w:hAnsiTheme="minorHAnsi" w:cstheme="minorHAnsi"/>
          <w:color w:val="auto"/>
          <w:sz w:val="22"/>
          <w:szCs w:val="22"/>
        </w:rPr>
      </w:pPr>
      <w:r w:rsidRPr="00831E3D">
        <w:rPr>
          <w:rFonts w:asciiTheme="minorHAnsi" w:hAnsiTheme="minorHAnsi" w:cstheme="minorHAnsi"/>
          <w:sz w:val="22"/>
          <w:szCs w:val="22"/>
        </w:rPr>
        <w:t xml:space="preserve">Patient with complaints or symptoms that fall outside </w:t>
      </w:r>
      <w:r w:rsidR="00002725" w:rsidRPr="00831E3D">
        <w:rPr>
          <w:rFonts w:asciiTheme="minorHAnsi" w:hAnsiTheme="minorHAnsi" w:cstheme="minorHAnsi"/>
          <w:sz w:val="22"/>
          <w:szCs w:val="22"/>
        </w:rPr>
        <w:t>Collaborative Practice</w:t>
      </w:r>
      <w:r w:rsidRPr="00831E3D">
        <w:rPr>
          <w:rFonts w:asciiTheme="minorHAnsi" w:hAnsiTheme="minorHAnsi" w:cstheme="minorHAnsi"/>
          <w:sz w:val="22"/>
          <w:szCs w:val="22"/>
        </w:rPr>
        <w:t xml:space="preserve"> will be referred to the primary care provider</w:t>
      </w:r>
      <w:r w:rsidR="00002725" w:rsidRPr="00831E3D">
        <w:rPr>
          <w:rFonts w:asciiTheme="minorHAnsi" w:hAnsiTheme="minorHAnsi" w:cstheme="minorHAnsi"/>
          <w:sz w:val="22"/>
          <w:szCs w:val="22"/>
        </w:rPr>
        <w:t xml:space="preserve"> or ordering prescriber.</w:t>
      </w:r>
    </w:p>
    <w:p w14:paraId="4E10FE60" w14:textId="2D51A1DC" w:rsidR="00DC7C7F" w:rsidRPr="00831E3D" w:rsidRDefault="00DC7C7F" w:rsidP="004D2870">
      <w:pPr>
        <w:pStyle w:val="Default"/>
        <w:numPr>
          <w:ilvl w:val="2"/>
          <w:numId w:val="3"/>
        </w:numPr>
        <w:rPr>
          <w:rFonts w:asciiTheme="minorHAnsi" w:hAnsiTheme="minorHAnsi" w:cstheme="minorHAnsi"/>
          <w:color w:val="auto"/>
          <w:sz w:val="22"/>
          <w:szCs w:val="22"/>
        </w:rPr>
      </w:pPr>
      <w:r w:rsidRPr="00831E3D">
        <w:rPr>
          <w:rFonts w:asciiTheme="minorHAnsi" w:hAnsiTheme="minorHAnsi" w:cstheme="minorHAnsi"/>
          <w:sz w:val="22"/>
          <w:szCs w:val="22"/>
        </w:rPr>
        <w:t>If suicidal ideation arises during the patient-pharmacist interaction, the pharmacist will refer patient to Colorado Crisis Services, 988</w:t>
      </w:r>
      <w:r w:rsidR="00026CD8">
        <w:rPr>
          <w:rFonts w:asciiTheme="minorHAnsi" w:hAnsiTheme="minorHAnsi" w:cstheme="minorHAnsi"/>
          <w:sz w:val="22"/>
          <w:szCs w:val="22"/>
        </w:rPr>
        <w:t>.</w:t>
      </w:r>
    </w:p>
    <w:p w14:paraId="38EC897D" w14:textId="41B8E931" w:rsidR="00F47F33" w:rsidRPr="00831E3D" w:rsidRDefault="009829A0" w:rsidP="004D2870">
      <w:pPr>
        <w:pStyle w:val="Default"/>
        <w:widowControl/>
        <w:numPr>
          <w:ilvl w:val="0"/>
          <w:numId w:val="3"/>
        </w:numPr>
        <w:rPr>
          <w:rFonts w:asciiTheme="minorHAnsi" w:hAnsiTheme="minorHAnsi" w:cstheme="minorHAnsi"/>
          <w:color w:val="auto"/>
          <w:sz w:val="22"/>
          <w:szCs w:val="22"/>
        </w:rPr>
      </w:pPr>
      <w:r w:rsidRPr="00831E3D">
        <w:rPr>
          <w:rFonts w:asciiTheme="minorHAnsi" w:hAnsiTheme="minorHAnsi" w:cstheme="minorHAnsi"/>
          <w:sz w:val="22"/>
          <w:szCs w:val="22"/>
        </w:rPr>
        <w:t xml:space="preserve">Scope of Practice: </w:t>
      </w:r>
      <w:r w:rsidR="00026CD8">
        <w:rPr>
          <w:rFonts w:asciiTheme="minorHAnsi" w:hAnsiTheme="minorHAnsi" w:cstheme="minorHAnsi"/>
          <w:sz w:val="22"/>
          <w:szCs w:val="22"/>
        </w:rPr>
        <w:t>P</w:t>
      </w:r>
      <w:r w:rsidRPr="00831E3D">
        <w:rPr>
          <w:rFonts w:asciiTheme="minorHAnsi" w:hAnsiTheme="minorHAnsi" w:cstheme="minorHAnsi"/>
          <w:sz w:val="22"/>
          <w:szCs w:val="22"/>
        </w:rPr>
        <w:t xml:space="preserve">harmacists have full scope of practice to evaluate and treat all disease states listed in </w:t>
      </w:r>
      <w:r w:rsidR="00D030B5" w:rsidRPr="00831E3D">
        <w:rPr>
          <w:rFonts w:asciiTheme="minorHAnsi" w:hAnsiTheme="minorHAnsi" w:cstheme="minorHAnsi"/>
          <w:sz w:val="22"/>
          <w:szCs w:val="22"/>
        </w:rPr>
        <w:t>CPA protocol</w:t>
      </w:r>
      <w:r w:rsidR="00304286" w:rsidRPr="00831E3D">
        <w:rPr>
          <w:rFonts w:asciiTheme="minorHAnsi" w:hAnsiTheme="minorHAnsi" w:cstheme="minorHAnsi"/>
          <w:sz w:val="22"/>
          <w:szCs w:val="22"/>
        </w:rPr>
        <w:t xml:space="preserve"> [Attachment A</w:t>
      </w:r>
      <w:r w:rsidRPr="00831E3D">
        <w:rPr>
          <w:rFonts w:asciiTheme="minorHAnsi" w:hAnsiTheme="minorHAnsi" w:cstheme="minorHAnsi"/>
          <w:sz w:val="22"/>
          <w:szCs w:val="22"/>
        </w:rPr>
        <w:t>.</w:t>
      </w:r>
      <w:r w:rsidR="00304286" w:rsidRPr="00831E3D">
        <w:rPr>
          <w:rFonts w:asciiTheme="minorHAnsi" w:hAnsiTheme="minorHAnsi" w:cstheme="minorHAnsi"/>
          <w:sz w:val="22"/>
          <w:szCs w:val="22"/>
        </w:rPr>
        <w:t>]</w:t>
      </w:r>
      <w:r w:rsidRPr="00831E3D">
        <w:rPr>
          <w:rFonts w:asciiTheme="minorHAnsi" w:hAnsiTheme="minorHAnsi" w:cstheme="minorHAnsi"/>
          <w:sz w:val="22"/>
          <w:szCs w:val="22"/>
        </w:rPr>
        <w:t xml:space="preserve"> Pharmacists may start, stop, adjust any medication commonly used for the listed conditions, per guidelines. This includes laboratory testing for medication </w:t>
      </w:r>
      <w:r w:rsidR="00304286" w:rsidRPr="00831E3D">
        <w:rPr>
          <w:rFonts w:asciiTheme="minorHAnsi" w:hAnsiTheme="minorHAnsi" w:cstheme="minorHAnsi"/>
          <w:sz w:val="22"/>
          <w:szCs w:val="22"/>
        </w:rPr>
        <w:t xml:space="preserve">and disease state </w:t>
      </w:r>
      <w:r w:rsidRPr="00831E3D">
        <w:rPr>
          <w:rFonts w:asciiTheme="minorHAnsi" w:hAnsiTheme="minorHAnsi" w:cstheme="minorHAnsi"/>
          <w:sz w:val="22"/>
          <w:szCs w:val="22"/>
        </w:rPr>
        <w:t xml:space="preserve">monitoring. The pharmacist may perform or review the following physical assessments: </w:t>
      </w:r>
      <w:r w:rsidR="00DB6130" w:rsidRPr="00831E3D">
        <w:rPr>
          <w:rFonts w:asciiTheme="minorHAnsi" w:hAnsiTheme="minorHAnsi" w:cstheme="minorHAnsi"/>
          <w:sz w:val="22"/>
          <w:szCs w:val="22"/>
        </w:rPr>
        <w:t>all v</w:t>
      </w:r>
      <w:r w:rsidRPr="00831E3D">
        <w:rPr>
          <w:rFonts w:asciiTheme="minorHAnsi" w:hAnsiTheme="minorHAnsi" w:cstheme="minorHAnsi"/>
          <w:sz w:val="22"/>
          <w:szCs w:val="22"/>
        </w:rPr>
        <w:t xml:space="preserve">ital signs, foot </w:t>
      </w:r>
      <w:r w:rsidR="00DB6130" w:rsidRPr="00831E3D">
        <w:rPr>
          <w:rFonts w:asciiTheme="minorHAnsi" w:hAnsiTheme="minorHAnsi" w:cstheme="minorHAnsi"/>
          <w:sz w:val="22"/>
          <w:szCs w:val="22"/>
        </w:rPr>
        <w:t>examinations</w:t>
      </w:r>
      <w:r w:rsidR="00026CD8">
        <w:rPr>
          <w:rFonts w:asciiTheme="minorHAnsi" w:hAnsiTheme="minorHAnsi" w:cstheme="minorHAnsi"/>
          <w:sz w:val="22"/>
          <w:szCs w:val="22"/>
        </w:rPr>
        <w:t xml:space="preserve"> </w:t>
      </w:r>
      <w:r w:rsidR="00304286" w:rsidRPr="00831E3D">
        <w:rPr>
          <w:rFonts w:asciiTheme="minorHAnsi" w:hAnsiTheme="minorHAnsi" w:cstheme="minorHAnsi"/>
          <w:sz w:val="22"/>
          <w:szCs w:val="22"/>
        </w:rPr>
        <w:t>as indicated</w:t>
      </w:r>
      <w:r w:rsidR="00DB6130" w:rsidRPr="00831E3D">
        <w:rPr>
          <w:rFonts w:asciiTheme="minorHAnsi" w:hAnsiTheme="minorHAnsi" w:cstheme="minorHAnsi"/>
          <w:sz w:val="22"/>
          <w:szCs w:val="22"/>
        </w:rPr>
        <w:t>.</w:t>
      </w:r>
    </w:p>
    <w:p w14:paraId="4CDFA93E" w14:textId="27ECD9FC" w:rsidR="00722172" w:rsidRPr="00831E3D" w:rsidRDefault="001E0F9D" w:rsidP="004D2870">
      <w:pPr>
        <w:pStyle w:val="MediumGrid1-Accent21"/>
        <w:widowControl w:val="0"/>
        <w:numPr>
          <w:ilvl w:val="0"/>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Patient and Pharmacist Interactions</w:t>
      </w:r>
    </w:p>
    <w:p w14:paraId="108C1F8B" w14:textId="0410AC2D" w:rsidR="001E0F9D" w:rsidRPr="00831E3D" w:rsidRDefault="00F47F33" w:rsidP="004D2870">
      <w:pPr>
        <w:pStyle w:val="MediumGrid1-Accent21"/>
        <w:widowControl w:val="0"/>
        <w:numPr>
          <w:ilvl w:val="1"/>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Collaborative Practice</w:t>
      </w:r>
      <w:r w:rsidR="001E0F9D" w:rsidRPr="00831E3D">
        <w:rPr>
          <w:rFonts w:asciiTheme="minorHAnsi" w:hAnsiTheme="minorHAnsi" w:cstheme="minorHAnsi"/>
          <w:sz w:val="22"/>
          <w:szCs w:val="22"/>
        </w:rPr>
        <w:t xml:space="preserve"> may be addressed with the patient:</w:t>
      </w:r>
    </w:p>
    <w:p w14:paraId="6AA2D216" w14:textId="1A5FE401" w:rsidR="001E0F9D" w:rsidRPr="00831E3D" w:rsidRDefault="001E0F9D" w:rsidP="004D2870">
      <w:pPr>
        <w:pStyle w:val="MediumGrid1-Accent21"/>
        <w:widowControl w:val="0"/>
        <w:numPr>
          <w:ilvl w:val="2"/>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In</w:t>
      </w:r>
      <w:r w:rsidR="00026CD8">
        <w:rPr>
          <w:rFonts w:asciiTheme="minorHAnsi" w:hAnsiTheme="minorHAnsi" w:cstheme="minorHAnsi"/>
          <w:sz w:val="22"/>
          <w:szCs w:val="22"/>
        </w:rPr>
        <w:t>-</w:t>
      </w:r>
      <w:r w:rsidRPr="00831E3D">
        <w:rPr>
          <w:rFonts w:asciiTheme="minorHAnsi" w:hAnsiTheme="minorHAnsi" w:cstheme="minorHAnsi"/>
          <w:sz w:val="22"/>
          <w:szCs w:val="22"/>
        </w:rPr>
        <w:t xml:space="preserve">person via an individual or group visit </w:t>
      </w:r>
    </w:p>
    <w:p w14:paraId="036297D9" w14:textId="53A75099" w:rsidR="001E0F9D" w:rsidRPr="00831E3D" w:rsidRDefault="001E0F9D" w:rsidP="004D2870">
      <w:pPr>
        <w:pStyle w:val="MediumGrid1-Accent21"/>
        <w:widowControl w:val="0"/>
        <w:numPr>
          <w:ilvl w:val="2"/>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Via telephone</w:t>
      </w:r>
      <w:r w:rsidR="00784822" w:rsidRPr="00831E3D">
        <w:rPr>
          <w:rFonts w:asciiTheme="minorHAnsi" w:hAnsiTheme="minorHAnsi" w:cstheme="minorHAnsi"/>
          <w:sz w:val="22"/>
          <w:szCs w:val="22"/>
        </w:rPr>
        <w:t xml:space="preserve"> (audio-only)</w:t>
      </w:r>
      <w:r w:rsidRPr="00831E3D">
        <w:rPr>
          <w:rFonts w:asciiTheme="minorHAnsi" w:hAnsiTheme="minorHAnsi" w:cstheme="minorHAnsi"/>
          <w:sz w:val="22"/>
          <w:szCs w:val="22"/>
        </w:rPr>
        <w:t xml:space="preserve"> visits</w:t>
      </w:r>
    </w:p>
    <w:p w14:paraId="78680AFD" w14:textId="77777777" w:rsidR="001E0F9D" w:rsidRPr="00831E3D" w:rsidRDefault="001E0F9D" w:rsidP="004D2870">
      <w:pPr>
        <w:pStyle w:val="MediumGrid1-Accent21"/>
        <w:widowControl w:val="0"/>
        <w:numPr>
          <w:ilvl w:val="2"/>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Via secure Electronic Medical Record Messaging system</w:t>
      </w:r>
    </w:p>
    <w:p w14:paraId="4CBF1364" w14:textId="09B140B1" w:rsidR="00722172" w:rsidRPr="00831E3D" w:rsidRDefault="001E0F9D" w:rsidP="004D2870">
      <w:pPr>
        <w:pStyle w:val="MediumGrid1-Accent21"/>
        <w:widowControl w:val="0"/>
        <w:numPr>
          <w:ilvl w:val="2"/>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 xml:space="preserve">Via secure video visits </w:t>
      </w:r>
      <w:r w:rsidR="008D37D0" w:rsidRPr="00831E3D">
        <w:rPr>
          <w:rFonts w:asciiTheme="minorHAnsi" w:hAnsiTheme="minorHAnsi" w:cstheme="minorHAnsi"/>
          <w:sz w:val="22"/>
          <w:szCs w:val="22"/>
        </w:rPr>
        <w:t xml:space="preserve"> </w:t>
      </w:r>
    </w:p>
    <w:p w14:paraId="2CB575B3" w14:textId="4DE6DAF8" w:rsidR="00722172" w:rsidRPr="00831E3D" w:rsidRDefault="00722172" w:rsidP="004D2870">
      <w:pPr>
        <w:pStyle w:val="MediumGrid1-Accent21"/>
        <w:widowControl w:val="0"/>
        <w:numPr>
          <w:ilvl w:val="1"/>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It is the responsibility of the patient to follow-up with recommended medications, ordered labs, appointments and phone follow-ups and this information should be communicated to the patient. The pharmacist will make all reasonable attempts to continue a good working relationship with patient if there are missed appointments</w:t>
      </w:r>
      <w:r w:rsidR="00DA1297" w:rsidRPr="00831E3D">
        <w:rPr>
          <w:rFonts w:asciiTheme="minorHAnsi" w:hAnsiTheme="minorHAnsi" w:cstheme="minorHAnsi"/>
          <w:sz w:val="22"/>
          <w:szCs w:val="22"/>
        </w:rPr>
        <w:t>.</w:t>
      </w:r>
    </w:p>
    <w:p w14:paraId="242942AA" w14:textId="7A31781B" w:rsidR="00DB6130" w:rsidRDefault="00784822" w:rsidP="004D2870">
      <w:pPr>
        <w:pStyle w:val="Default"/>
        <w:numPr>
          <w:ilvl w:val="1"/>
          <w:numId w:val="3"/>
        </w:numPr>
        <w:rPr>
          <w:rFonts w:asciiTheme="minorHAnsi" w:hAnsiTheme="minorHAnsi" w:cstheme="minorHAnsi"/>
          <w:sz w:val="22"/>
          <w:szCs w:val="22"/>
        </w:rPr>
      </w:pPr>
      <w:r w:rsidRPr="00831E3D">
        <w:rPr>
          <w:rFonts w:asciiTheme="minorHAnsi" w:hAnsiTheme="minorHAnsi" w:cstheme="minorHAnsi"/>
          <w:sz w:val="22"/>
          <w:szCs w:val="22"/>
        </w:rPr>
        <w:t>Patient Dismissal: Patients who are not engaged in treatment plans or who no-</w:t>
      </w:r>
      <w:r w:rsidR="0060495A" w:rsidRPr="00831E3D">
        <w:rPr>
          <w:rFonts w:asciiTheme="minorHAnsi" w:hAnsiTheme="minorHAnsi" w:cstheme="minorHAnsi"/>
          <w:sz w:val="22"/>
          <w:szCs w:val="22"/>
        </w:rPr>
        <w:t>show appointments</w:t>
      </w:r>
      <w:r w:rsidRPr="00831E3D">
        <w:rPr>
          <w:rFonts w:asciiTheme="minorHAnsi" w:hAnsiTheme="minorHAnsi" w:cstheme="minorHAnsi"/>
          <w:sz w:val="22"/>
          <w:szCs w:val="22"/>
        </w:rPr>
        <w:t xml:space="preserve"> with the pharmacist </w:t>
      </w:r>
      <w:r w:rsidR="005E7349">
        <w:rPr>
          <w:rFonts w:asciiTheme="minorHAnsi" w:hAnsiTheme="minorHAnsi" w:cstheme="minorHAnsi"/>
          <w:sz w:val="22"/>
          <w:szCs w:val="22"/>
        </w:rPr>
        <w:t>may</w:t>
      </w:r>
      <w:r w:rsidRPr="00831E3D">
        <w:rPr>
          <w:rFonts w:asciiTheme="minorHAnsi" w:hAnsiTheme="minorHAnsi" w:cstheme="minorHAnsi"/>
          <w:sz w:val="22"/>
          <w:szCs w:val="22"/>
        </w:rPr>
        <w:t xml:space="preserve"> be referred</w:t>
      </w:r>
      <w:r w:rsidR="005E7349">
        <w:rPr>
          <w:rFonts w:asciiTheme="minorHAnsi" w:hAnsiTheme="minorHAnsi" w:cstheme="minorHAnsi"/>
          <w:sz w:val="22"/>
          <w:szCs w:val="22"/>
        </w:rPr>
        <w:t xml:space="preserve"> </w:t>
      </w:r>
      <w:r w:rsidRPr="00831E3D">
        <w:rPr>
          <w:rFonts w:asciiTheme="minorHAnsi" w:hAnsiTheme="minorHAnsi" w:cstheme="minorHAnsi"/>
          <w:sz w:val="22"/>
          <w:szCs w:val="22"/>
        </w:rPr>
        <w:t xml:space="preserve">to the initial prescriber who ordered the CPA. This may be done over-the-phone, via secure messaging, or via fax. Attempts </w:t>
      </w:r>
      <w:r w:rsidRPr="00831E3D">
        <w:rPr>
          <w:rFonts w:asciiTheme="minorHAnsi" w:hAnsiTheme="minorHAnsi" w:cstheme="minorHAnsi"/>
          <w:sz w:val="22"/>
          <w:szCs w:val="22"/>
        </w:rPr>
        <w:lastRenderedPageBreak/>
        <w:t xml:space="preserve">to contact patient will also be documented in dismissal. </w:t>
      </w:r>
    </w:p>
    <w:p w14:paraId="441EBD6D" w14:textId="0277648C" w:rsidR="00632D73" w:rsidRDefault="00632D73" w:rsidP="004D2870">
      <w:pPr>
        <w:pStyle w:val="Default"/>
        <w:numPr>
          <w:ilvl w:val="1"/>
          <w:numId w:val="3"/>
        </w:numPr>
        <w:rPr>
          <w:rFonts w:asciiTheme="minorHAnsi" w:hAnsiTheme="minorHAnsi" w:cstheme="minorHAnsi"/>
          <w:sz w:val="22"/>
          <w:szCs w:val="22"/>
        </w:rPr>
      </w:pPr>
      <w:r>
        <w:rPr>
          <w:rFonts w:asciiTheme="minorHAnsi" w:hAnsiTheme="minorHAnsi" w:cstheme="minorHAnsi"/>
          <w:sz w:val="22"/>
          <w:szCs w:val="22"/>
        </w:rPr>
        <w:t>Discontinuation of Pharmacist CPA Services</w:t>
      </w:r>
    </w:p>
    <w:p w14:paraId="2559DED3" w14:textId="7746DFDF" w:rsidR="00632D73" w:rsidRDefault="00632D73" w:rsidP="00632D73">
      <w:pPr>
        <w:pStyle w:val="Default"/>
        <w:numPr>
          <w:ilvl w:val="2"/>
          <w:numId w:val="3"/>
        </w:numPr>
        <w:rPr>
          <w:rFonts w:asciiTheme="minorHAnsi" w:hAnsiTheme="minorHAnsi" w:cstheme="minorHAnsi"/>
          <w:sz w:val="22"/>
          <w:szCs w:val="22"/>
        </w:rPr>
      </w:pPr>
      <w:r>
        <w:rPr>
          <w:rFonts w:asciiTheme="minorHAnsi" w:hAnsiTheme="minorHAnsi" w:cstheme="minorHAnsi"/>
          <w:sz w:val="22"/>
          <w:szCs w:val="22"/>
        </w:rPr>
        <w:t xml:space="preserve">When the patient meets their therapeutic goals, the patient will be referred back to the prescriber for continued treatment. (i.e, annual BP check, every 3-6 month A1C check, etc.) </w:t>
      </w:r>
    </w:p>
    <w:p w14:paraId="5203AA6B" w14:textId="2A37A0F3" w:rsidR="00632D73" w:rsidRDefault="00632D73" w:rsidP="00632D73">
      <w:pPr>
        <w:pStyle w:val="Default"/>
        <w:numPr>
          <w:ilvl w:val="2"/>
          <w:numId w:val="3"/>
        </w:numPr>
        <w:rPr>
          <w:rFonts w:asciiTheme="minorHAnsi" w:hAnsiTheme="minorHAnsi" w:cstheme="minorHAnsi"/>
          <w:sz w:val="22"/>
          <w:szCs w:val="22"/>
        </w:rPr>
      </w:pPr>
      <w:r>
        <w:rPr>
          <w:rFonts w:asciiTheme="minorHAnsi" w:hAnsiTheme="minorHAnsi" w:cstheme="minorHAnsi"/>
          <w:sz w:val="22"/>
          <w:szCs w:val="22"/>
        </w:rPr>
        <w:t>This will be clearly documented in the pharmacist SOAP note.</w:t>
      </w:r>
    </w:p>
    <w:p w14:paraId="5E18DB67" w14:textId="3C9A3302" w:rsidR="00632D73" w:rsidRPr="00831E3D" w:rsidRDefault="00632D73" w:rsidP="00632D73">
      <w:pPr>
        <w:pStyle w:val="Default"/>
        <w:numPr>
          <w:ilvl w:val="2"/>
          <w:numId w:val="3"/>
        </w:numPr>
        <w:rPr>
          <w:rFonts w:asciiTheme="minorHAnsi" w:hAnsiTheme="minorHAnsi" w:cstheme="minorHAnsi"/>
          <w:sz w:val="22"/>
          <w:szCs w:val="22"/>
        </w:rPr>
      </w:pPr>
      <w:r>
        <w:rPr>
          <w:rFonts w:asciiTheme="minorHAnsi" w:hAnsiTheme="minorHAnsi" w:cstheme="minorHAnsi"/>
          <w:sz w:val="22"/>
          <w:szCs w:val="22"/>
        </w:rPr>
        <w:t xml:space="preserve">A patient may be re-referred to pharmacist services in the future, if needed. </w:t>
      </w:r>
    </w:p>
    <w:p w14:paraId="0494BD7B" w14:textId="72F2E1F1" w:rsidR="00703D16" w:rsidRPr="00831E3D" w:rsidRDefault="00703D16" w:rsidP="004D2870">
      <w:pPr>
        <w:pStyle w:val="Default"/>
        <w:numPr>
          <w:ilvl w:val="0"/>
          <w:numId w:val="3"/>
        </w:numPr>
        <w:rPr>
          <w:rFonts w:asciiTheme="minorHAnsi" w:hAnsiTheme="minorHAnsi" w:cstheme="minorHAnsi"/>
          <w:sz w:val="22"/>
          <w:szCs w:val="22"/>
        </w:rPr>
      </w:pPr>
      <w:r w:rsidRPr="00831E3D">
        <w:rPr>
          <w:rFonts w:asciiTheme="minorHAnsi" w:hAnsiTheme="minorHAnsi" w:cstheme="minorHAnsi"/>
          <w:sz w:val="22"/>
          <w:szCs w:val="22"/>
        </w:rPr>
        <w:t>Retention of Records</w:t>
      </w:r>
      <w:r w:rsidR="008E291F">
        <w:rPr>
          <w:rFonts w:asciiTheme="minorHAnsi" w:hAnsiTheme="minorHAnsi" w:cstheme="minorHAnsi"/>
          <w:sz w:val="22"/>
          <w:szCs w:val="22"/>
        </w:rPr>
        <w:t xml:space="preserve"> (Rule 17.01.01-17.03.00)</w:t>
      </w:r>
    </w:p>
    <w:p w14:paraId="718E823D" w14:textId="24CDD62C" w:rsidR="00304286" w:rsidRPr="00831E3D" w:rsidRDefault="00304286" w:rsidP="004D2870">
      <w:pPr>
        <w:pStyle w:val="MediumGrid1-Accent21"/>
        <w:widowControl w:val="0"/>
        <w:numPr>
          <w:ilvl w:val="1"/>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CPA Agreements: Pharmacists shall maintain all records of collaborative pharmacy practice agreements, and have readily available for inspection by the Board or its inspectors at the location where evidence-based healthcare services are provided, the following:</w:t>
      </w:r>
    </w:p>
    <w:p w14:paraId="06788EC1" w14:textId="76623BBD" w:rsidR="00304286" w:rsidRPr="00831E3D" w:rsidRDefault="00304286" w:rsidP="004D2870">
      <w:pPr>
        <w:pStyle w:val="MediumGrid1-Accent21"/>
        <w:widowControl w:val="0"/>
        <w:numPr>
          <w:ilvl w:val="2"/>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sz w:val="22"/>
          <w:szCs w:val="22"/>
        </w:rPr>
        <w:t>The agreement and protocol entered into with prescriber</w:t>
      </w:r>
      <w:r w:rsidR="00026CD8">
        <w:rPr>
          <w:rFonts w:asciiTheme="minorHAnsi" w:hAnsiTheme="minorHAnsi" w:cstheme="minorHAnsi"/>
          <w:bCs/>
          <w:sz w:val="22"/>
          <w:szCs w:val="22"/>
        </w:rPr>
        <w:t>(s)</w:t>
      </w:r>
    </w:p>
    <w:p w14:paraId="3A42208D" w14:textId="5844A203" w:rsidR="006F4F43" w:rsidRPr="00831E3D" w:rsidRDefault="00304286" w:rsidP="004D2870">
      <w:pPr>
        <w:pStyle w:val="MediumGrid1-Accent21"/>
        <w:widowControl w:val="0"/>
        <w:numPr>
          <w:ilvl w:val="2"/>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sz w:val="22"/>
          <w:szCs w:val="22"/>
        </w:rPr>
        <w:t xml:space="preserve">Documentation reflecting pharmacist </w:t>
      </w:r>
      <w:r w:rsidR="00026CD8">
        <w:rPr>
          <w:rFonts w:asciiTheme="minorHAnsi" w:hAnsiTheme="minorHAnsi" w:cstheme="minorHAnsi"/>
          <w:bCs/>
          <w:sz w:val="22"/>
          <w:szCs w:val="22"/>
        </w:rPr>
        <w:t>qualifications to participate in CPA</w:t>
      </w:r>
    </w:p>
    <w:p w14:paraId="209EFE48" w14:textId="77777777" w:rsidR="00304286" w:rsidRPr="00831E3D" w:rsidRDefault="00304286" w:rsidP="004D2870">
      <w:pPr>
        <w:pStyle w:val="MediumGrid1-Accent21"/>
        <w:widowControl w:val="0"/>
        <w:numPr>
          <w:ilvl w:val="1"/>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sz w:val="22"/>
          <w:szCs w:val="22"/>
        </w:rPr>
        <w:t xml:space="preserve">CPA Activities: </w:t>
      </w:r>
      <w:r w:rsidRPr="00831E3D">
        <w:rPr>
          <w:rFonts w:asciiTheme="minorHAnsi" w:hAnsiTheme="minorHAnsi" w:cstheme="minorHAnsi"/>
          <w:bCs/>
          <w:color w:val="000000"/>
          <w:sz w:val="22"/>
          <w:szCs w:val="22"/>
        </w:rPr>
        <w:t>All records of collaborative pharmacy agreements shall be retained for a minimum of three years from the last date of healthcare service. Such records shall be available for inspection by the patient, the prescriber or prescribers, the Board or its inspectors, or any other authorized local, state, or federal law enforcement or regulatory agency.</w:t>
      </w:r>
    </w:p>
    <w:p w14:paraId="41C4335F" w14:textId="77777777" w:rsidR="00026CD8" w:rsidRDefault="00304286" w:rsidP="004D2870">
      <w:pPr>
        <w:pStyle w:val="MediumGrid1-Accent21"/>
        <w:widowControl w:val="0"/>
        <w:numPr>
          <w:ilvl w:val="2"/>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 xml:space="preserve">Records may be maintained in an alternative data retention system such as a data processing system or direct imaging system provided that: </w:t>
      </w:r>
    </w:p>
    <w:p w14:paraId="482A50AC" w14:textId="77777777" w:rsidR="00026CD8" w:rsidRDefault="00304286" w:rsidP="0060495A">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 xml:space="preserve">The records maintained in the alternative system contain all of the information required on the manual record; </w:t>
      </w:r>
    </w:p>
    <w:p w14:paraId="1C243594" w14:textId="77777777" w:rsidR="00026CD8" w:rsidRDefault="00304286" w:rsidP="0060495A">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The data processing system is capable of producing a hard copy of the record upon the request of the Board, its representative, or of other authorized, local, state, or federal law enforcement or regulatory agencies;</w:t>
      </w:r>
    </w:p>
    <w:p w14:paraId="0299B77E" w14:textId="4F56E2A1" w:rsidR="00026CD8" w:rsidRDefault="00304286" w:rsidP="0060495A">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 xml:space="preserve">A back-up is conducted of the data processing system every twenty-four hours; and </w:t>
      </w:r>
    </w:p>
    <w:p w14:paraId="0FA50EB1" w14:textId="3428217E" w:rsidR="00304286" w:rsidRPr="00831E3D" w:rsidRDefault="00304286" w:rsidP="0060495A">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The records are immediately available for the previous two years.</w:t>
      </w:r>
    </w:p>
    <w:p w14:paraId="35E2A1B8" w14:textId="639A3FDA" w:rsidR="00304286" w:rsidRPr="00D030B5" w:rsidRDefault="00304286" w:rsidP="00D030B5">
      <w:pPr>
        <w:pStyle w:val="MediumGrid1-Accent21"/>
        <w:widowControl w:val="0"/>
        <w:numPr>
          <w:ilvl w:val="1"/>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Confidentiality: The pharmacist shall provide adequate security to prevent indiscriminate or unauthorized access to confidential records. If confidential health information is transmitted through a data communication device, the confidential health information may not be accessed or maintained by the operator of the data communication device unless specifically authorized to do so by the patient. All protected health information obtained and maintained, including that obtained from the physician or other providers, must be strictly controlled in accordance with the requirements of Health Insurance Portability and Accountability Act of 1996, and the HITECH Act of 2009, and other federal and state laws and rules.</w:t>
      </w:r>
    </w:p>
    <w:p w14:paraId="79FB953A" w14:textId="77777777" w:rsidR="00304286" w:rsidRPr="00831E3D" w:rsidRDefault="00304286" w:rsidP="00304286">
      <w:pPr>
        <w:pStyle w:val="MediumGrid1-Accent21"/>
        <w:widowControl w:val="0"/>
        <w:autoSpaceDE w:val="0"/>
        <w:autoSpaceDN w:val="0"/>
        <w:adjustRightInd w:val="0"/>
        <w:spacing w:after="0"/>
        <w:rPr>
          <w:rFonts w:asciiTheme="minorHAnsi" w:hAnsiTheme="minorHAnsi" w:cstheme="minorHAnsi"/>
          <w:bCs/>
          <w:color w:val="000000"/>
          <w:sz w:val="22"/>
          <w:szCs w:val="22"/>
        </w:rPr>
      </w:pPr>
    </w:p>
    <w:p w14:paraId="290822E7" w14:textId="77777777" w:rsidR="0061469A" w:rsidRPr="00831E3D" w:rsidRDefault="0061469A" w:rsidP="0061469A">
      <w:pPr>
        <w:pStyle w:val="Default"/>
        <w:rPr>
          <w:rFonts w:asciiTheme="minorHAnsi" w:hAnsiTheme="minorHAnsi" w:cstheme="minorHAnsi"/>
          <w:bCs/>
          <w:color w:val="auto"/>
          <w:sz w:val="22"/>
          <w:szCs w:val="22"/>
        </w:rPr>
      </w:pPr>
      <w:r w:rsidRPr="00831E3D">
        <w:rPr>
          <w:rFonts w:asciiTheme="minorHAnsi" w:hAnsiTheme="minorHAnsi" w:cstheme="minorHAnsi"/>
          <w:b/>
          <w:color w:val="auto"/>
          <w:sz w:val="22"/>
          <w:szCs w:val="22"/>
          <w:u w:val="single"/>
        </w:rPr>
        <w:t>Approval</w:t>
      </w:r>
      <w:r w:rsidRPr="00831E3D">
        <w:rPr>
          <w:rFonts w:asciiTheme="minorHAnsi" w:hAnsiTheme="minorHAnsi" w:cstheme="minorHAnsi"/>
          <w:bCs/>
          <w:color w:val="auto"/>
          <w:sz w:val="22"/>
          <w:szCs w:val="22"/>
        </w:rPr>
        <w:t xml:space="preserve">: </w:t>
      </w:r>
    </w:p>
    <w:p w14:paraId="0D0B940D" w14:textId="77777777" w:rsidR="0061469A" w:rsidRPr="00831E3D" w:rsidRDefault="0061469A" w:rsidP="0061469A">
      <w:pPr>
        <w:pStyle w:val="Default"/>
        <w:rPr>
          <w:rFonts w:asciiTheme="minorHAnsi" w:hAnsiTheme="minorHAnsi" w:cstheme="minorHAnsi"/>
          <w:color w:val="auto"/>
          <w:sz w:val="22"/>
          <w:szCs w:val="22"/>
        </w:rPr>
      </w:pPr>
    </w:p>
    <w:p w14:paraId="0E27B00A" w14:textId="77777777" w:rsidR="0061469A" w:rsidRPr="00831E3D" w:rsidRDefault="0061469A" w:rsidP="0061469A">
      <w:pPr>
        <w:pStyle w:val="Default"/>
        <w:rPr>
          <w:rFonts w:asciiTheme="minorHAnsi" w:hAnsiTheme="minorHAnsi" w:cstheme="minorHAnsi"/>
          <w:color w:val="auto"/>
          <w:sz w:val="22"/>
          <w:szCs w:val="22"/>
        </w:rPr>
      </w:pPr>
    </w:p>
    <w:p w14:paraId="04FEC578" w14:textId="77777777" w:rsidR="0010168C" w:rsidRPr="00831E3D" w:rsidRDefault="0010168C" w:rsidP="0010168C">
      <w:pPr>
        <w:pStyle w:val="Default"/>
        <w:rPr>
          <w:rFonts w:asciiTheme="minorHAnsi" w:hAnsiTheme="minorHAnsi" w:cstheme="minorHAnsi"/>
          <w:color w:val="auto"/>
          <w:sz w:val="22"/>
          <w:szCs w:val="22"/>
        </w:rPr>
      </w:pPr>
      <w:r w:rsidRPr="00831E3D">
        <w:rPr>
          <w:rFonts w:asciiTheme="minorHAnsi" w:hAnsiTheme="minorHAnsi" w:cstheme="minorHAnsi"/>
          <w:color w:val="auto"/>
          <w:sz w:val="22"/>
          <w:szCs w:val="22"/>
          <w:u w:val="single"/>
        </w:rPr>
        <w:t xml:space="preserve">___________ </w:t>
      </w:r>
      <w:r w:rsidRPr="00831E3D">
        <w:rPr>
          <w:rFonts w:asciiTheme="minorHAnsi" w:hAnsiTheme="minorHAnsi" w:cstheme="minorHAnsi"/>
          <w:color w:val="auto"/>
          <w:sz w:val="22"/>
          <w:szCs w:val="22"/>
        </w:rPr>
        <w:t>_________________                                                    _________________________</w:t>
      </w:r>
    </w:p>
    <w:p w14:paraId="3CEA3F78" w14:textId="06E1D355" w:rsidR="0010168C" w:rsidRPr="00831E3D" w:rsidRDefault="0010168C" w:rsidP="0010168C">
      <w:pPr>
        <w:pStyle w:val="Default"/>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[Prescriber Signature] </w:t>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007E2216">
        <w:rPr>
          <w:rFonts w:asciiTheme="minorHAnsi" w:hAnsiTheme="minorHAnsi" w:cstheme="minorHAnsi"/>
          <w:color w:val="auto"/>
          <w:sz w:val="22"/>
          <w:szCs w:val="22"/>
        </w:rPr>
        <w:tab/>
      </w:r>
      <w:r w:rsidRPr="00831E3D">
        <w:rPr>
          <w:rFonts w:asciiTheme="minorHAnsi" w:hAnsiTheme="minorHAnsi" w:cstheme="minorHAnsi"/>
          <w:color w:val="auto"/>
          <w:sz w:val="22"/>
          <w:szCs w:val="22"/>
        </w:rPr>
        <w:t xml:space="preserve">[Date] </w:t>
      </w:r>
    </w:p>
    <w:p w14:paraId="0191C540" w14:textId="77777777" w:rsidR="0010168C" w:rsidRPr="00831E3D" w:rsidRDefault="0010168C" w:rsidP="0010168C">
      <w:pPr>
        <w:pStyle w:val="Default"/>
        <w:rPr>
          <w:rFonts w:asciiTheme="minorHAnsi" w:hAnsiTheme="minorHAnsi" w:cstheme="minorHAnsi"/>
          <w:color w:val="auto"/>
          <w:sz w:val="22"/>
          <w:szCs w:val="22"/>
        </w:rPr>
      </w:pPr>
      <w:r w:rsidRPr="00831E3D">
        <w:rPr>
          <w:rFonts w:asciiTheme="minorHAnsi" w:hAnsiTheme="minorHAnsi" w:cstheme="minorHAnsi"/>
          <w:color w:val="auto"/>
          <w:sz w:val="22"/>
          <w:szCs w:val="22"/>
          <w:u w:val="single"/>
        </w:rPr>
        <w:t xml:space="preserve">___________ </w:t>
      </w:r>
      <w:r w:rsidRPr="00831E3D">
        <w:rPr>
          <w:rFonts w:asciiTheme="minorHAnsi" w:hAnsiTheme="minorHAnsi" w:cstheme="minorHAnsi"/>
          <w:color w:val="auto"/>
          <w:sz w:val="22"/>
          <w:szCs w:val="22"/>
        </w:rPr>
        <w:t>_________________                                                    _________________________</w:t>
      </w:r>
    </w:p>
    <w:p w14:paraId="5048D5E1" w14:textId="1407D314" w:rsidR="0010168C" w:rsidRPr="00831E3D" w:rsidRDefault="0010168C" w:rsidP="0010168C">
      <w:pPr>
        <w:pStyle w:val="Default"/>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[Pharmacist Signature] </w:t>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007E2216">
        <w:rPr>
          <w:rFonts w:asciiTheme="minorHAnsi" w:hAnsiTheme="minorHAnsi" w:cstheme="minorHAnsi"/>
          <w:color w:val="auto"/>
          <w:sz w:val="22"/>
          <w:szCs w:val="22"/>
        </w:rPr>
        <w:tab/>
      </w:r>
      <w:r w:rsidRPr="00831E3D">
        <w:rPr>
          <w:rFonts w:asciiTheme="minorHAnsi" w:hAnsiTheme="minorHAnsi" w:cstheme="minorHAnsi"/>
          <w:color w:val="auto"/>
          <w:sz w:val="22"/>
          <w:szCs w:val="22"/>
        </w:rPr>
        <w:t xml:space="preserve">[Date] </w:t>
      </w:r>
    </w:p>
    <w:p w14:paraId="34330D51" w14:textId="031B6520" w:rsidR="0056219B" w:rsidRDefault="00CB6290" w:rsidP="0060495A">
      <w:pPr>
        <w:widowControl w:val="0"/>
        <w:autoSpaceDE w:val="0"/>
        <w:autoSpaceDN w:val="0"/>
        <w:adjustRightInd w:val="0"/>
        <w:spacing w:after="0"/>
        <w:jc w:val="center"/>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t>Hypertension</w:t>
      </w:r>
      <w:r w:rsidR="0010168C" w:rsidRPr="00831E3D">
        <w:rPr>
          <w:rFonts w:asciiTheme="minorHAnsi" w:hAnsiTheme="minorHAnsi" w:cstheme="minorHAnsi"/>
          <w:b/>
          <w:bCs/>
          <w:sz w:val="28"/>
          <w:szCs w:val="28"/>
          <w:u w:val="single"/>
        </w:rPr>
        <w:t xml:space="preserve"> Protocol</w:t>
      </w:r>
    </w:p>
    <w:p w14:paraId="205974B4" w14:textId="77777777" w:rsidR="0010168C" w:rsidRPr="00831E3D" w:rsidRDefault="0010168C" w:rsidP="00AB304A">
      <w:pPr>
        <w:widowControl w:val="0"/>
        <w:autoSpaceDE w:val="0"/>
        <w:autoSpaceDN w:val="0"/>
        <w:adjustRightInd w:val="0"/>
        <w:spacing w:after="0"/>
        <w:rPr>
          <w:rFonts w:asciiTheme="minorHAnsi" w:hAnsiTheme="minorHAnsi" w:cstheme="minorHAnsi"/>
          <w:b/>
          <w:bCs/>
          <w:sz w:val="22"/>
          <w:szCs w:val="22"/>
        </w:rPr>
      </w:pPr>
    </w:p>
    <w:p w14:paraId="49E7A4F9" w14:textId="65F88E53" w:rsidR="007A3F77" w:rsidRPr="00FC6106" w:rsidRDefault="007A3F77" w:rsidP="00FC6106">
      <w:pPr>
        <w:pStyle w:val="Default"/>
        <w:widowControl/>
        <w:rPr>
          <w:rFonts w:asciiTheme="minorHAnsi" w:hAnsiTheme="minorHAnsi" w:cstheme="minorHAnsi"/>
          <w:sz w:val="22"/>
          <w:szCs w:val="22"/>
        </w:rPr>
      </w:pPr>
      <w:r>
        <w:rPr>
          <w:rFonts w:asciiTheme="minorHAnsi" w:hAnsiTheme="minorHAnsi" w:cstheme="minorHAnsi"/>
          <w:sz w:val="22"/>
          <w:szCs w:val="22"/>
        </w:rPr>
        <w:t>This protocol is based on current national evidenced based guidelines</w:t>
      </w:r>
      <w:r w:rsidR="009B73E1">
        <w:rPr>
          <w:rFonts w:asciiTheme="minorHAnsi" w:hAnsiTheme="minorHAnsi" w:cstheme="minorHAnsi"/>
          <w:sz w:val="22"/>
          <w:szCs w:val="22"/>
        </w:rPr>
        <w:t xml:space="preserve">. </w:t>
      </w:r>
      <w:r w:rsidRPr="00831E3D">
        <w:rPr>
          <w:rFonts w:asciiTheme="minorHAnsi" w:hAnsiTheme="minorHAnsi" w:cstheme="minorHAnsi"/>
          <w:sz w:val="22"/>
          <w:szCs w:val="22"/>
        </w:rPr>
        <w:t xml:space="preserve">Pharmacists will manage </w:t>
      </w:r>
      <w:r w:rsidR="00CB6290">
        <w:rPr>
          <w:rFonts w:asciiTheme="minorHAnsi" w:hAnsiTheme="minorHAnsi" w:cstheme="minorHAnsi"/>
          <w:sz w:val="22"/>
          <w:szCs w:val="22"/>
        </w:rPr>
        <w:t>antihypertensive</w:t>
      </w:r>
      <w:r w:rsidRPr="00831E3D">
        <w:rPr>
          <w:rFonts w:asciiTheme="minorHAnsi" w:hAnsiTheme="minorHAnsi" w:cstheme="minorHAnsi"/>
          <w:sz w:val="22"/>
          <w:szCs w:val="22"/>
        </w:rPr>
        <w:t xml:space="preserve"> </w:t>
      </w:r>
      <w:r w:rsidR="0054144C">
        <w:rPr>
          <w:rFonts w:asciiTheme="minorHAnsi" w:hAnsiTheme="minorHAnsi" w:cstheme="minorHAnsi"/>
          <w:sz w:val="22"/>
          <w:szCs w:val="22"/>
        </w:rPr>
        <w:t xml:space="preserve">therapies </w:t>
      </w:r>
      <w:r w:rsidRPr="00831E3D">
        <w:rPr>
          <w:rFonts w:asciiTheme="minorHAnsi" w:hAnsiTheme="minorHAnsi" w:cstheme="minorHAnsi"/>
          <w:sz w:val="22"/>
          <w:szCs w:val="22"/>
        </w:rPr>
        <w:t xml:space="preserve">in accordance with </w:t>
      </w:r>
      <w:r>
        <w:rPr>
          <w:rFonts w:asciiTheme="minorHAnsi" w:hAnsiTheme="minorHAnsi" w:cstheme="minorHAnsi"/>
          <w:sz w:val="22"/>
          <w:szCs w:val="22"/>
        </w:rPr>
        <w:t xml:space="preserve">these </w:t>
      </w:r>
      <w:r w:rsidRPr="00831E3D">
        <w:rPr>
          <w:rFonts w:asciiTheme="minorHAnsi" w:hAnsiTheme="minorHAnsi" w:cstheme="minorHAnsi"/>
          <w:sz w:val="22"/>
          <w:szCs w:val="22"/>
        </w:rPr>
        <w:t xml:space="preserve">accepted current guidelines and literature.  </w:t>
      </w:r>
      <w:r w:rsidR="009B73E1" w:rsidRPr="009B73E1">
        <w:rPr>
          <w:rFonts w:asciiTheme="minorHAnsi" w:hAnsiTheme="minorHAnsi" w:cstheme="minorHAnsi"/>
          <w:sz w:val="22"/>
          <w:szCs w:val="22"/>
        </w:rPr>
        <w:t>Pharmacists may prescribe and dispense FDA approved medication(s) to eligible patients according to</w:t>
      </w:r>
      <w:r w:rsidR="005C4373">
        <w:rPr>
          <w:rFonts w:asciiTheme="minorHAnsi" w:hAnsiTheme="minorHAnsi" w:cstheme="minorHAnsi"/>
          <w:sz w:val="22"/>
          <w:szCs w:val="22"/>
        </w:rPr>
        <w:t xml:space="preserve"> indications and contraindications recommended in the</w:t>
      </w:r>
      <w:r w:rsidR="00FC6106">
        <w:rPr>
          <w:rFonts w:asciiTheme="minorHAnsi" w:hAnsiTheme="minorHAnsi" w:cstheme="minorHAnsi"/>
          <w:sz w:val="22"/>
          <w:szCs w:val="22"/>
        </w:rPr>
        <w:t xml:space="preserve"> </w:t>
      </w:r>
      <w:r w:rsidR="005C4373" w:rsidRPr="00FC6106">
        <w:rPr>
          <w:rFonts w:asciiTheme="minorHAnsi" w:hAnsiTheme="minorHAnsi" w:cstheme="minorHAnsi"/>
          <w:i/>
          <w:iCs/>
          <w:sz w:val="22"/>
          <w:szCs w:val="22"/>
        </w:rPr>
        <w:t>2017</w:t>
      </w:r>
      <w:r w:rsidR="00FC6106">
        <w:rPr>
          <w:rFonts w:asciiTheme="minorHAnsi" w:hAnsiTheme="minorHAnsi" w:cstheme="minorHAnsi"/>
          <w:i/>
          <w:iCs/>
          <w:sz w:val="22"/>
          <w:szCs w:val="22"/>
        </w:rPr>
        <w:t xml:space="preserve"> </w:t>
      </w:r>
      <w:commentRangeStart w:id="0"/>
      <w:r w:rsidR="005C4373" w:rsidRPr="00FC6106">
        <w:rPr>
          <w:rFonts w:asciiTheme="minorHAnsi" w:hAnsiTheme="minorHAnsi" w:cstheme="minorHAnsi"/>
          <w:i/>
          <w:iCs/>
          <w:sz w:val="22"/>
          <w:szCs w:val="22"/>
        </w:rPr>
        <w:t>ACC/AHA/AAPA/ABC/ACPM/AGS/APhA/ASH/ASPC/NMA/PCNA Guideline for the Prevention, Detection, Evaluation, and Management of High Blood Pressure in Adults: A Report of the American College of Cardiology/American Heart Association Task Force on Clinical Practice Guidelines</w:t>
      </w:r>
      <w:r w:rsidR="00FC6106" w:rsidRPr="00FC6106">
        <w:rPr>
          <w:rFonts w:asciiTheme="minorHAnsi" w:hAnsiTheme="minorHAnsi" w:cstheme="minorHAnsi"/>
          <w:i/>
          <w:iCs/>
          <w:sz w:val="22"/>
          <w:szCs w:val="22"/>
          <w:vertAlign w:val="superscript"/>
        </w:rPr>
        <w:t>1</w:t>
      </w:r>
      <w:r w:rsidR="00FC6106">
        <w:rPr>
          <w:rFonts w:asciiTheme="minorHAnsi" w:hAnsiTheme="minorHAnsi" w:cstheme="minorHAnsi"/>
          <w:sz w:val="22"/>
          <w:szCs w:val="22"/>
        </w:rPr>
        <w:t xml:space="preserve"> and the </w:t>
      </w:r>
      <w:r w:rsidR="00FC6106" w:rsidRPr="00FC6106">
        <w:rPr>
          <w:rFonts w:ascii="Calibri" w:hAnsi="Calibri" w:cs="Calibri"/>
          <w:i/>
          <w:iCs/>
          <w:sz w:val="22"/>
          <w:szCs w:val="22"/>
        </w:rPr>
        <w:t>Resistant Hypertension: Detection, Evaluation, and Management: A Scientific Statement From the American Heart Association</w:t>
      </w:r>
      <w:r w:rsidR="00FC6106">
        <w:rPr>
          <w:rFonts w:ascii="Calibri" w:hAnsi="Calibri" w:cs="Calibri"/>
          <w:sz w:val="22"/>
          <w:szCs w:val="22"/>
          <w:vertAlign w:val="superscript"/>
        </w:rPr>
        <w:t xml:space="preserve">2 </w:t>
      </w:r>
      <w:r w:rsidR="009B73E1" w:rsidRPr="00AB304A">
        <w:rPr>
          <w:rFonts w:asciiTheme="minorHAnsi" w:hAnsiTheme="minorHAnsi" w:cstheme="minorHAnsi"/>
          <w:sz w:val="22"/>
          <w:szCs w:val="22"/>
        </w:rPr>
        <w:t>or</w:t>
      </w:r>
      <w:r w:rsidR="009B73E1" w:rsidRPr="00AB304A">
        <w:rPr>
          <w:rFonts w:asciiTheme="minorHAnsi" w:hAnsiTheme="minorHAnsi" w:cstheme="minorHAnsi"/>
          <w:i/>
          <w:iCs/>
          <w:sz w:val="22"/>
          <w:szCs w:val="22"/>
        </w:rPr>
        <w:t xml:space="preserve"> </w:t>
      </w:r>
      <w:r w:rsidR="009B73E1" w:rsidRPr="00FC6106">
        <w:rPr>
          <w:rFonts w:asciiTheme="minorHAnsi" w:hAnsiTheme="minorHAnsi" w:cstheme="minorHAnsi"/>
          <w:sz w:val="22"/>
          <w:szCs w:val="22"/>
        </w:rPr>
        <w:t>subsequent updated publishe</w:t>
      </w:r>
      <w:r w:rsidR="00AB304A" w:rsidRPr="00FC6106">
        <w:rPr>
          <w:rFonts w:asciiTheme="minorHAnsi" w:hAnsiTheme="minorHAnsi" w:cstheme="minorHAnsi"/>
          <w:sz w:val="22"/>
          <w:szCs w:val="22"/>
        </w:rPr>
        <w:t xml:space="preserve">d </w:t>
      </w:r>
      <w:r w:rsidR="009B73E1" w:rsidRPr="00FC6106">
        <w:rPr>
          <w:rFonts w:asciiTheme="minorHAnsi" w:hAnsiTheme="minorHAnsi" w:cstheme="minorHAnsi"/>
          <w:sz w:val="22"/>
          <w:szCs w:val="22"/>
        </w:rPr>
        <w:t>guidelines recognized as the national standard of practice</w:t>
      </w:r>
      <w:r w:rsidR="009B73E1" w:rsidRPr="00AB304A">
        <w:rPr>
          <w:rFonts w:asciiTheme="minorHAnsi" w:hAnsiTheme="minorHAnsi" w:cstheme="minorHAnsi"/>
          <w:i/>
          <w:iCs/>
          <w:sz w:val="22"/>
          <w:szCs w:val="22"/>
        </w:rPr>
        <w:t xml:space="preserve">. </w:t>
      </w:r>
      <w:commentRangeEnd w:id="0"/>
      <w:r w:rsidR="00FC6106">
        <w:rPr>
          <w:rStyle w:val="CommentReference"/>
          <w:rFonts w:ascii="Cambria" w:hAnsi="Cambria" w:cs="Times New Roman"/>
          <w:color w:val="auto"/>
        </w:rPr>
        <w:commentReference w:id="0"/>
      </w:r>
    </w:p>
    <w:p w14:paraId="770C7610" w14:textId="77777777" w:rsidR="007A3F77" w:rsidRPr="00AB304A" w:rsidRDefault="007A3F77" w:rsidP="00176CC7">
      <w:pPr>
        <w:pStyle w:val="Default"/>
        <w:widowControl/>
        <w:rPr>
          <w:rFonts w:asciiTheme="minorHAnsi" w:hAnsiTheme="minorHAnsi" w:cstheme="minorHAnsi"/>
          <w:sz w:val="22"/>
          <w:szCs w:val="22"/>
        </w:rPr>
      </w:pPr>
    </w:p>
    <w:p w14:paraId="33B2DF0B" w14:textId="39D61273" w:rsidR="00176CC7" w:rsidRPr="00831E3D" w:rsidRDefault="002C220A" w:rsidP="00176CC7">
      <w:pPr>
        <w:pStyle w:val="Default"/>
        <w:widowControl/>
        <w:rPr>
          <w:rFonts w:asciiTheme="minorHAnsi" w:hAnsiTheme="minorHAnsi" w:cstheme="minorHAnsi"/>
          <w:sz w:val="22"/>
          <w:szCs w:val="22"/>
        </w:rPr>
      </w:pPr>
      <w:r w:rsidRPr="00AB304A">
        <w:rPr>
          <w:rFonts w:asciiTheme="minorHAnsi" w:hAnsiTheme="minorHAnsi" w:cstheme="minorHAnsi"/>
          <w:sz w:val="22"/>
          <w:szCs w:val="22"/>
        </w:rPr>
        <w:t>As outlined in the CPA agreement, the</w:t>
      </w:r>
      <w:r w:rsidR="00176CC7" w:rsidRPr="00AB304A">
        <w:rPr>
          <w:rFonts w:asciiTheme="minorHAnsi" w:hAnsiTheme="minorHAnsi" w:cstheme="minorHAnsi"/>
          <w:sz w:val="22"/>
          <w:szCs w:val="22"/>
        </w:rPr>
        <w:t xml:space="preserve"> pharmacist may start, stop</w:t>
      </w:r>
      <w:r w:rsidR="00176CC7" w:rsidRPr="00831E3D">
        <w:rPr>
          <w:rFonts w:asciiTheme="minorHAnsi" w:hAnsiTheme="minorHAnsi" w:cstheme="minorHAnsi"/>
          <w:sz w:val="22"/>
          <w:szCs w:val="22"/>
        </w:rPr>
        <w:t xml:space="preserve">, </w:t>
      </w:r>
      <w:r w:rsidR="00CB6290">
        <w:rPr>
          <w:rFonts w:asciiTheme="minorHAnsi" w:hAnsiTheme="minorHAnsi" w:cstheme="minorHAnsi"/>
          <w:sz w:val="22"/>
          <w:szCs w:val="22"/>
        </w:rPr>
        <w:t xml:space="preserve">or </w:t>
      </w:r>
      <w:r w:rsidR="00176CC7" w:rsidRPr="00831E3D">
        <w:rPr>
          <w:rFonts w:asciiTheme="minorHAnsi" w:hAnsiTheme="minorHAnsi" w:cstheme="minorHAnsi"/>
          <w:sz w:val="22"/>
          <w:szCs w:val="22"/>
        </w:rPr>
        <w:t xml:space="preserve">adjust any medication commonly used for </w:t>
      </w:r>
      <w:r w:rsidR="00CB6290">
        <w:rPr>
          <w:rFonts w:asciiTheme="minorHAnsi" w:hAnsiTheme="minorHAnsi" w:cstheme="minorHAnsi"/>
          <w:sz w:val="22"/>
          <w:szCs w:val="22"/>
        </w:rPr>
        <w:t>hypertension</w:t>
      </w:r>
      <w:r w:rsidR="00176CC7" w:rsidRPr="00831E3D">
        <w:rPr>
          <w:rFonts w:asciiTheme="minorHAnsi" w:hAnsiTheme="minorHAnsi" w:cstheme="minorHAnsi"/>
          <w:sz w:val="22"/>
          <w:szCs w:val="22"/>
        </w:rPr>
        <w:t>, per current guidelines. This includes laboratory testing for medication and disease state monitoring</w:t>
      </w:r>
      <w:r w:rsidR="007331C3" w:rsidRPr="00831E3D">
        <w:rPr>
          <w:rFonts w:asciiTheme="minorHAnsi" w:hAnsiTheme="minorHAnsi" w:cstheme="minorHAnsi"/>
          <w:sz w:val="22"/>
          <w:szCs w:val="22"/>
        </w:rPr>
        <w:t xml:space="preserve">. </w:t>
      </w:r>
      <w:r w:rsidR="00176CC7" w:rsidRPr="00831E3D">
        <w:rPr>
          <w:rFonts w:asciiTheme="minorHAnsi" w:hAnsiTheme="minorHAnsi" w:cstheme="minorHAnsi"/>
          <w:sz w:val="22"/>
          <w:szCs w:val="22"/>
        </w:rPr>
        <w:t>The scope of the agreement covers adult patients (</w:t>
      </w:r>
      <w:r w:rsidR="00102273" w:rsidRPr="00831E3D">
        <w:rPr>
          <w:rFonts w:asciiTheme="minorHAnsi" w:hAnsiTheme="minorHAnsi" w:cstheme="minorHAnsi"/>
          <w:sz w:val="22"/>
          <w:szCs w:val="22"/>
        </w:rPr>
        <w:t>≥</w:t>
      </w:r>
      <w:r w:rsidR="00176CC7" w:rsidRPr="00831E3D">
        <w:rPr>
          <w:rFonts w:asciiTheme="minorHAnsi" w:hAnsiTheme="minorHAnsi" w:cstheme="minorHAnsi"/>
          <w:sz w:val="22"/>
          <w:szCs w:val="22"/>
        </w:rPr>
        <w:t>18 years of age) with</w:t>
      </w:r>
      <w:r w:rsidR="00EC4F60">
        <w:rPr>
          <w:rFonts w:asciiTheme="minorHAnsi" w:hAnsiTheme="minorHAnsi" w:cstheme="minorHAnsi"/>
          <w:sz w:val="22"/>
          <w:szCs w:val="22"/>
        </w:rPr>
        <w:t xml:space="preserve"> hypertension who are not currently pregnant, receiving hospice care, or </w:t>
      </w:r>
      <w:r w:rsidR="00FC6106">
        <w:rPr>
          <w:rFonts w:asciiTheme="minorHAnsi" w:hAnsiTheme="minorHAnsi" w:cstheme="minorHAnsi"/>
          <w:sz w:val="22"/>
          <w:szCs w:val="22"/>
        </w:rPr>
        <w:t xml:space="preserve">who’s hypertension is already managed by a provider not included in the agreement </w:t>
      </w:r>
      <w:r w:rsidR="00EC4F60">
        <w:rPr>
          <w:rFonts w:asciiTheme="minorHAnsi" w:hAnsiTheme="minorHAnsi" w:cstheme="minorHAnsi"/>
          <w:sz w:val="22"/>
          <w:szCs w:val="22"/>
        </w:rPr>
        <w:t>(e.g. cardiology, nephrology)</w:t>
      </w:r>
      <w:r w:rsidR="00176CC7" w:rsidRPr="00831E3D">
        <w:rPr>
          <w:rFonts w:asciiTheme="minorHAnsi" w:hAnsiTheme="minorHAnsi" w:cstheme="minorHAnsi"/>
          <w:sz w:val="22"/>
          <w:szCs w:val="22"/>
        </w:rPr>
        <w:t xml:space="preserve">. </w:t>
      </w:r>
      <w:r w:rsidR="00F47ECC">
        <w:rPr>
          <w:rFonts w:asciiTheme="minorHAnsi" w:hAnsiTheme="minorHAnsi" w:cstheme="minorHAnsi"/>
          <w:sz w:val="22"/>
          <w:szCs w:val="22"/>
        </w:rPr>
        <w:t xml:space="preserve"> </w:t>
      </w:r>
    </w:p>
    <w:p w14:paraId="6153274B" w14:textId="77777777" w:rsidR="00AD2ED8" w:rsidRPr="00831E3D" w:rsidRDefault="00AD2ED8" w:rsidP="00176CC7">
      <w:pPr>
        <w:pStyle w:val="Default"/>
        <w:widowControl/>
        <w:rPr>
          <w:rFonts w:asciiTheme="minorHAnsi" w:hAnsiTheme="minorHAnsi" w:cstheme="minorHAnsi"/>
          <w:sz w:val="22"/>
          <w:szCs w:val="22"/>
        </w:rPr>
      </w:pPr>
    </w:p>
    <w:p w14:paraId="0BFDED63" w14:textId="02063C13" w:rsidR="00684D09" w:rsidRPr="00831E3D" w:rsidRDefault="00684D09" w:rsidP="00176CC7">
      <w:pPr>
        <w:pStyle w:val="Default"/>
        <w:widowControl/>
        <w:rPr>
          <w:rFonts w:asciiTheme="minorHAnsi" w:hAnsiTheme="minorHAnsi" w:cstheme="minorHAnsi"/>
          <w:b/>
          <w:bCs/>
          <w:color w:val="auto"/>
          <w:sz w:val="22"/>
          <w:szCs w:val="22"/>
          <w:u w:val="single"/>
        </w:rPr>
      </w:pPr>
      <w:r w:rsidRPr="00831E3D">
        <w:rPr>
          <w:rFonts w:asciiTheme="minorHAnsi" w:hAnsiTheme="minorHAnsi" w:cstheme="minorHAnsi"/>
          <w:b/>
          <w:bCs/>
          <w:color w:val="auto"/>
          <w:sz w:val="22"/>
          <w:szCs w:val="22"/>
          <w:u w:val="single"/>
        </w:rPr>
        <w:t xml:space="preserve">Disease Assessment: </w:t>
      </w:r>
    </w:p>
    <w:p w14:paraId="4E89E1EA" w14:textId="70237439" w:rsidR="002C220A" w:rsidRPr="00831E3D" w:rsidRDefault="002C220A" w:rsidP="007331C3">
      <w:pPr>
        <w:widowControl w:val="0"/>
        <w:autoSpaceDE w:val="0"/>
        <w:autoSpaceDN w:val="0"/>
        <w:adjustRightInd w:val="0"/>
        <w:spacing w:after="0"/>
        <w:jc w:val="center"/>
        <w:rPr>
          <w:rFonts w:asciiTheme="minorHAnsi" w:hAnsiTheme="minorHAnsi" w:cstheme="minorHAnsi"/>
          <w:sz w:val="22"/>
          <w:szCs w:val="22"/>
        </w:rPr>
      </w:pPr>
    </w:p>
    <w:p w14:paraId="331C1748" w14:textId="7E7677F4" w:rsidR="00102273" w:rsidRPr="00831E3D" w:rsidRDefault="00102273" w:rsidP="00102273">
      <w:pPr>
        <w:widowControl w:val="0"/>
        <w:autoSpaceDE w:val="0"/>
        <w:autoSpaceDN w:val="0"/>
        <w:adjustRightInd w:val="0"/>
        <w:spacing w:after="0"/>
        <w:rPr>
          <w:rFonts w:asciiTheme="minorHAnsi" w:hAnsiTheme="minorHAnsi" w:cstheme="minorHAnsi"/>
          <w:sz w:val="22"/>
          <w:szCs w:val="22"/>
        </w:rPr>
      </w:pPr>
      <w:r w:rsidRPr="00831E3D">
        <w:rPr>
          <w:rFonts w:asciiTheme="minorHAnsi" w:hAnsiTheme="minorHAnsi" w:cstheme="minorHAnsi"/>
          <w:sz w:val="22"/>
          <w:szCs w:val="22"/>
        </w:rPr>
        <w:t>Pharmacists will assess the current state of</w:t>
      </w:r>
      <w:r w:rsidR="00C14108">
        <w:rPr>
          <w:rFonts w:asciiTheme="minorHAnsi" w:hAnsiTheme="minorHAnsi" w:cstheme="minorHAnsi"/>
          <w:sz w:val="22"/>
          <w:szCs w:val="22"/>
        </w:rPr>
        <w:t xml:space="preserve"> the</w:t>
      </w:r>
      <w:r w:rsidRPr="00831E3D">
        <w:rPr>
          <w:rFonts w:asciiTheme="minorHAnsi" w:hAnsiTheme="minorHAnsi" w:cstheme="minorHAnsi"/>
          <w:sz w:val="22"/>
          <w:szCs w:val="22"/>
        </w:rPr>
        <w:t xml:space="preserve"> patient’s </w:t>
      </w:r>
      <w:r w:rsidR="00EC4F60">
        <w:rPr>
          <w:rFonts w:asciiTheme="minorHAnsi" w:hAnsiTheme="minorHAnsi" w:cstheme="minorHAnsi"/>
          <w:sz w:val="22"/>
          <w:szCs w:val="22"/>
        </w:rPr>
        <w:t>hypertension</w:t>
      </w:r>
      <w:r w:rsidRPr="00831E3D">
        <w:rPr>
          <w:rFonts w:asciiTheme="minorHAnsi" w:hAnsiTheme="minorHAnsi" w:cstheme="minorHAnsi"/>
          <w:sz w:val="22"/>
          <w:szCs w:val="22"/>
        </w:rPr>
        <w:t xml:space="preserve"> control</w:t>
      </w:r>
      <w:r w:rsidR="00C14108">
        <w:rPr>
          <w:rFonts w:asciiTheme="minorHAnsi" w:hAnsiTheme="minorHAnsi" w:cstheme="minorHAnsi"/>
          <w:sz w:val="22"/>
          <w:szCs w:val="22"/>
        </w:rPr>
        <w:t xml:space="preserve"> including blood pressure and heart rate</w:t>
      </w:r>
      <w:r w:rsidRPr="00831E3D">
        <w:rPr>
          <w:rFonts w:asciiTheme="minorHAnsi" w:hAnsiTheme="minorHAnsi" w:cstheme="minorHAnsi"/>
          <w:sz w:val="22"/>
          <w:szCs w:val="22"/>
        </w:rPr>
        <w:t>. The pharmacist will also evaluate</w:t>
      </w:r>
      <w:r w:rsidR="00C14108">
        <w:rPr>
          <w:rFonts w:asciiTheme="minorHAnsi" w:hAnsiTheme="minorHAnsi" w:cstheme="minorHAnsi"/>
          <w:sz w:val="22"/>
          <w:szCs w:val="22"/>
        </w:rPr>
        <w:t xml:space="preserve"> the</w:t>
      </w:r>
      <w:r w:rsidRPr="00831E3D">
        <w:rPr>
          <w:rFonts w:asciiTheme="minorHAnsi" w:hAnsiTheme="minorHAnsi" w:cstheme="minorHAnsi"/>
          <w:sz w:val="22"/>
          <w:szCs w:val="22"/>
        </w:rPr>
        <w:t xml:space="preserve"> patient</w:t>
      </w:r>
      <w:r w:rsidR="00C14108">
        <w:rPr>
          <w:rFonts w:asciiTheme="minorHAnsi" w:hAnsiTheme="minorHAnsi" w:cstheme="minorHAnsi"/>
          <w:sz w:val="22"/>
          <w:szCs w:val="22"/>
        </w:rPr>
        <w:t>’</w:t>
      </w:r>
      <w:r w:rsidRPr="00831E3D">
        <w:rPr>
          <w:rFonts w:asciiTheme="minorHAnsi" w:hAnsiTheme="minorHAnsi" w:cstheme="minorHAnsi"/>
          <w:sz w:val="22"/>
          <w:szCs w:val="22"/>
        </w:rPr>
        <w:t xml:space="preserve">s </w:t>
      </w:r>
      <w:r w:rsidR="00C14108">
        <w:rPr>
          <w:rFonts w:asciiTheme="minorHAnsi" w:hAnsiTheme="minorHAnsi" w:cstheme="minorHAnsi"/>
          <w:sz w:val="22"/>
          <w:szCs w:val="22"/>
        </w:rPr>
        <w:t>current medications (prescription, non-prescription, and herbal products)</w:t>
      </w:r>
      <w:r w:rsidRPr="00831E3D">
        <w:rPr>
          <w:rFonts w:asciiTheme="minorHAnsi" w:hAnsiTheme="minorHAnsi" w:cstheme="minorHAnsi"/>
          <w:sz w:val="22"/>
          <w:szCs w:val="22"/>
        </w:rPr>
        <w:t xml:space="preserve">, medication history (allergies, failures, intolerances), </w:t>
      </w:r>
      <w:r w:rsidR="00C14108">
        <w:rPr>
          <w:rFonts w:asciiTheme="minorHAnsi" w:hAnsiTheme="minorHAnsi" w:cstheme="minorHAnsi"/>
          <w:sz w:val="22"/>
          <w:szCs w:val="22"/>
        </w:rPr>
        <w:t xml:space="preserve">medical, social, and family history, </w:t>
      </w:r>
      <w:r w:rsidRPr="00831E3D">
        <w:rPr>
          <w:rFonts w:asciiTheme="minorHAnsi" w:hAnsiTheme="minorHAnsi" w:cstheme="minorHAnsi"/>
          <w:sz w:val="22"/>
          <w:szCs w:val="22"/>
        </w:rPr>
        <w:t xml:space="preserve">and lifestyle. </w:t>
      </w:r>
      <w:r w:rsidR="00F75871" w:rsidRPr="00831E3D">
        <w:rPr>
          <w:rFonts w:asciiTheme="minorHAnsi" w:hAnsiTheme="minorHAnsi" w:cstheme="minorHAnsi"/>
          <w:sz w:val="22"/>
          <w:szCs w:val="22"/>
        </w:rPr>
        <w:t xml:space="preserve">Therapeutic treatment decisions will be made based on </w:t>
      </w:r>
      <w:r w:rsidR="00C14108">
        <w:rPr>
          <w:rFonts w:asciiTheme="minorHAnsi" w:hAnsiTheme="minorHAnsi" w:cstheme="minorHAnsi"/>
          <w:sz w:val="22"/>
          <w:szCs w:val="22"/>
        </w:rPr>
        <w:t>numerous factors including but not limited to l</w:t>
      </w:r>
      <w:r w:rsidR="00F75871" w:rsidRPr="00831E3D">
        <w:rPr>
          <w:rFonts w:asciiTheme="minorHAnsi" w:hAnsiTheme="minorHAnsi" w:cstheme="minorHAnsi"/>
          <w:sz w:val="22"/>
          <w:szCs w:val="22"/>
        </w:rPr>
        <w:t>aboratory tests</w:t>
      </w:r>
      <w:r w:rsidR="00C14108">
        <w:rPr>
          <w:rFonts w:asciiTheme="minorHAnsi" w:hAnsiTheme="minorHAnsi" w:cstheme="minorHAnsi"/>
          <w:sz w:val="22"/>
          <w:szCs w:val="22"/>
        </w:rPr>
        <w:t>,</w:t>
      </w:r>
      <w:r w:rsidR="00F75871" w:rsidRPr="00831E3D">
        <w:rPr>
          <w:rFonts w:asciiTheme="minorHAnsi" w:hAnsiTheme="minorHAnsi" w:cstheme="minorHAnsi"/>
          <w:sz w:val="22"/>
          <w:szCs w:val="22"/>
        </w:rPr>
        <w:t xml:space="preserve"> goals of therapy</w:t>
      </w:r>
      <w:r w:rsidR="00C14108">
        <w:rPr>
          <w:rFonts w:asciiTheme="minorHAnsi" w:hAnsiTheme="minorHAnsi" w:cstheme="minorHAnsi"/>
          <w:sz w:val="22"/>
          <w:szCs w:val="22"/>
        </w:rPr>
        <w:t>, patient preference, allergies, comorbidities, previous intolerances, and affordability</w:t>
      </w:r>
      <w:r w:rsidR="00F75871" w:rsidRPr="00831E3D">
        <w:rPr>
          <w:rFonts w:asciiTheme="minorHAnsi" w:hAnsiTheme="minorHAnsi" w:cstheme="minorHAnsi"/>
          <w:sz w:val="22"/>
          <w:szCs w:val="22"/>
        </w:rPr>
        <w:t>.</w:t>
      </w:r>
    </w:p>
    <w:p w14:paraId="4CDFC3BC" w14:textId="77777777" w:rsidR="00F75871" w:rsidRPr="00831E3D" w:rsidRDefault="00F75871" w:rsidP="00102273">
      <w:pPr>
        <w:widowControl w:val="0"/>
        <w:autoSpaceDE w:val="0"/>
        <w:autoSpaceDN w:val="0"/>
        <w:adjustRightInd w:val="0"/>
        <w:spacing w:after="0"/>
        <w:rPr>
          <w:rFonts w:asciiTheme="minorHAnsi" w:hAnsiTheme="minorHAnsi" w:cstheme="minorHAnsi"/>
          <w:sz w:val="22"/>
          <w:szCs w:val="22"/>
        </w:rPr>
      </w:pPr>
    </w:p>
    <w:p w14:paraId="78FBD88D" w14:textId="4A8AA0BA" w:rsidR="00DE53C6" w:rsidRDefault="00F75871" w:rsidP="00102273">
      <w:pPr>
        <w:widowControl w:val="0"/>
        <w:autoSpaceDE w:val="0"/>
        <w:autoSpaceDN w:val="0"/>
        <w:adjustRightInd w:val="0"/>
        <w:spacing w:after="0"/>
        <w:rPr>
          <w:rFonts w:asciiTheme="minorHAnsi" w:hAnsiTheme="minorHAnsi" w:cstheme="minorHAnsi"/>
          <w:i/>
          <w:iCs/>
          <w:sz w:val="22"/>
          <w:szCs w:val="22"/>
          <w:vertAlign w:val="superscript"/>
        </w:rPr>
      </w:pPr>
      <w:r w:rsidRPr="00831E3D">
        <w:rPr>
          <w:rFonts w:asciiTheme="minorHAnsi" w:hAnsiTheme="minorHAnsi" w:cstheme="minorHAnsi"/>
          <w:i/>
          <w:iCs/>
          <w:sz w:val="22"/>
          <w:szCs w:val="22"/>
        </w:rPr>
        <w:t>Goals of Therap</w:t>
      </w:r>
      <w:r w:rsidR="001A4783">
        <w:rPr>
          <w:rFonts w:asciiTheme="minorHAnsi" w:hAnsiTheme="minorHAnsi" w:cstheme="minorHAnsi"/>
          <w:i/>
          <w:iCs/>
          <w:sz w:val="22"/>
          <w:szCs w:val="22"/>
        </w:rPr>
        <w:t>y</w:t>
      </w:r>
      <w:r w:rsidR="001A4783">
        <w:rPr>
          <w:rFonts w:asciiTheme="minorHAnsi" w:hAnsiTheme="minorHAnsi" w:cstheme="minorHAnsi"/>
          <w:i/>
          <w:iCs/>
          <w:sz w:val="22"/>
          <w:szCs w:val="22"/>
          <w:vertAlign w:val="superscript"/>
        </w:rPr>
        <w:t>1</w:t>
      </w:r>
    </w:p>
    <w:p w14:paraId="55EAC9C4" w14:textId="77777777" w:rsidR="00DD230C" w:rsidRDefault="00DD230C" w:rsidP="00102273">
      <w:pPr>
        <w:widowControl w:val="0"/>
        <w:autoSpaceDE w:val="0"/>
        <w:autoSpaceDN w:val="0"/>
        <w:adjustRightInd w:val="0"/>
        <w:spacing w:after="0"/>
        <w:rPr>
          <w:rFonts w:asciiTheme="minorHAnsi" w:hAnsiTheme="minorHAnsi" w:cstheme="minorHAnsi"/>
          <w:i/>
          <w:iCs/>
          <w:sz w:val="22"/>
          <w:szCs w:val="22"/>
        </w:rPr>
      </w:pPr>
    </w:p>
    <w:p w14:paraId="2A6720D7" w14:textId="04134C3D" w:rsidR="00DD230C" w:rsidRPr="00DD230C" w:rsidRDefault="00DD230C" w:rsidP="00102273">
      <w:pPr>
        <w:widowControl w:val="0"/>
        <w:autoSpaceDE w:val="0"/>
        <w:autoSpaceDN w:val="0"/>
        <w:adjustRightInd w:val="0"/>
        <w:spacing w:after="0"/>
        <w:rPr>
          <w:rFonts w:asciiTheme="minorHAnsi" w:hAnsiTheme="minorHAnsi" w:cstheme="minorHAnsi"/>
          <w:b/>
          <w:bCs/>
          <w:sz w:val="22"/>
          <w:szCs w:val="22"/>
        </w:rPr>
      </w:pPr>
      <w:r w:rsidRPr="00DD230C">
        <w:rPr>
          <w:rFonts w:asciiTheme="minorHAnsi" w:hAnsiTheme="minorHAnsi" w:cstheme="minorHAnsi"/>
          <w:b/>
          <w:bCs/>
          <w:sz w:val="22"/>
          <w:szCs w:val="22"/>
        </w:rPr>
        <w:t>Table 1. Therapeutic Goals</w:t>
      </w:r>
    </w:p>
    <w:tbl>
      <w:tblPr>
        <w:tblStyle w:val="TableGrid"/>
        <w:tblW w:w="0" w:type="auto"/>
        <w:tblLook w:val="04A0" w:firstRow="1" w:lastRow="0" w:firstColumn="1" w:lastColumn="0" w:noHBand="0" w:noVBand="1"/>
      </w:tblPr>
      <w:tblGrid>
        <w:gridCol w:w="7375"/>
        <w:gridCol w:w="1975"/>
      </w:tblGrid>
      <w:tr w:rsidR="00DE53C6" w14:paraId="5856C07E" w14:textId="77777777" w:rsidTr="00DD230C">
        <w:trPr>
          <w:trHeight w:val="314"/>
        </w:trPr>
        <w:tc>
          <w:tcPr>
            <w:tcW w:w="7375" w:type="dxa"/>
            <w:tcBorders>
              <w:top w:val="nil"/>
            </w:tcBorders>
            <w:shd w:val="clear" w:color="auto" w:fill="D0CECE" w:themeFill="background2" w:themeFillShade="E6"/>
            <w:vAlign w:val="center"/>
          </w:tcPr>
          <w:p w14:paraId="4900B35E" w14:textId="65A148D4" w:rsidR="00DE53C6" w:rsidRPr="00DE53C6" w:rsidRDefault="00DE53C6" w:rsidP="00102273">
            <w:pPr>
              <w:widowControl w:val="0"/>
              <w:autoSpaceDE w:val="0"/>
              <w:autoSpaceDN w:val="0"/>
              <w:adjustRightInd w:val="0"/>
              <w:spacing w:after="0"/>
              <w:rPr>
                <w:rFonts w:asciiTheme="minorHAnsi" w:hAnsiTheme="minorHAnsi" w:cstheme="minorHAnsi"/>
                <w:b/>
                <w:bCs/>
                <w:sz w:val="22"/>
                <w:szCs w:val="22"/>
              </w:rPr>
            </w:pPr>
            <w:r>
              <w:rPr>
                <w:rFonts w:asciiTheme="minorHAnsi" w:hAnsiTheme="minorHAnsi" w:cstheme="minorHAnsi"/>
                <w:b/>
                <w:bCs/>
                <w:sz w:val="22"/>
                <w:szCs w:val="22"/>
              </w:rPr>
              <w:t>Clinical Condition</w:t>
            </w:r>
          </w:p>
        </w:tc>
        <w:tc>
          <w:tcPr>
            <w:tcW w:w="1975" w:type="dxa"/>
            <w:shd w:val="clear" w:color="auto" w:fill="D0CECE" w:themeFill="background2" w:themeFillShade="E6"/>
            <w:vAlign w:val="center"/>
          </w:tcPr>
          <w:p w14:paraId="3AEE0586" w14:textId="2402CED1" w:rsidR="00DE53C6" w:rsidRPr="00DE53C6" w:rsidRDefault="00DE53C6" w:rsidP="00102273">
            <w:pPr>
              <w:widowControl w:val="0"/>
              <w:autoSpaceDE w:val="0"/>
              <w:autoSpaceDN w:val="0"/>
              <w:adjustRightInd w:val="0"/>
              <w:spacing w:after="0"/>
              <w:rPr>
                <w:rFonts w:asciiTheme="minorHAnsi" w:hAnsiTheme="minorHAnsi" w:cstheme="minorHAnsi"/>
                <w:b/>
                <w:bCs/>
                <w:sz w:val="22"/>
                <w:szCs w:val="22"/>
              </w:rPr>
            </w:pPr>
            <w:r>
              <w:rPr>
                <w:rFonts w:asciiTheme="minorHAnsi" w:hAnsiTheme="minorHAnsi" w:cstheme="minorHAnsi"/>
                <w:b/>
                <w:bCs/>
                <w:sz w:val="22"/>
                <w:szCs w:val="22"/>
              </w:rPr>
              <w:t>BP Goal (mmHg)</w:t>
            </w:r>
          </w:p>
        </w:tc>
      </w:tr>
      <w:tr w:rsidR="00DE53C6" w14:paraId="16FDF3D6" w14:textId="77777777" w:rsidTr="00DD230C">
        <w:trPr>
          <w:trHeight w:val="260"/>
        </w:trPr>
        <w:tc>
          <w:tcPr>
            <w:tcW w:w="9350" w:type="dxa"/>
            <w:gridSpan w:val="2"/>
            <w:shd w:val="clear" w:color="auto" w:fill="E7E6E6" w:themeFill="background2"/>
            <w:vAlign w:val="center"/>
          </w:tcPr>
          <w:p w14:paraId="54247DE1" w14:textId="556C7ECC"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b/>
                <w:bCs/>
                <w:sz w:val="22"/>
                <w:szCs w:val="22"/>
              </w:rPr>
              <w:t>General</w:t>
            </w:r>
          </w:p>
        </w:tc>
      </w:tr>
      <w:tr w:rsidR="00DE53C6" w14:paraId="040E8E3F" w14:textId="77777777" w:rsidTr="00033179">
        <w:tc>
          <w:tcPr>
            <w:tcW w:w="7375" w:type="dxa"/>
            <w:vAlign w:val="center"/>
          </w:tcPr>
          <w:p w14:paraId="27801D14" w14:textId="01A9DA06" w:rsidR="00DE53C6" w:rsidRP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Clinical CVD or 10-year ASCVD risk </w:t>
            </w:r>
            <w:r>
              <w:rPr>
                <w:rFonts w:asciiTheme="minorHAnsi" w:hAnsiTheme="minorHAnsi" w:cstheme="minorHAnsi"/>
                <w:sz w:val="22"/>
                <w:szCs w:val="22"/>
                <w:u w:val="single"/>
              </w:rPr>
              <w:t>&gt;</w:t>
            </w:r>
            <w:r>
              <w:rPr>
                <w:rFonts w:asciiTheme="minorHAnsi" w:hAnsiTheme="minorHAnsi" w:cstheme="minorHAnsi"/>
                <w:sz w:val="22"/>
                <w:szCs w:val="22"/>
              </w:rPr>
              <w:t xml:space="preserve"> 10%</w:t>
            </w:r>
          </w:p>
        </w:tc>
        <w:tc>
          <w:tcPr>
            <w:tcW w:w="1975" w:type="dxa"/>
            <w:vAlign w:val="center"/>
          </w:tcPr>
          <w:p w14:paraId="78E854EA" w14:textId="62C9B418"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&lt;130/80</w:t>
            </w:r>
          </w:p>
        </w:tc>
      </w:tr>
      <w:tr w:rsidR="00DE53C6" w14:paraId="7C5E0693" w14:textId="77777777" w:rsidTr="00033179">
        <w:tc>
          <w:tcPr>
            <w:tcW w:w="7375" w:type="dxa"/>
            <w:vAlign w:val="center"/>
          </w:tcPr>
          <w:p w14:paraId="3D73B677" w14:textId="21BB9DCF"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No clinical CVD and 10-year ASCVD risk &lt; 10%</w:t>
            </w:r>
          </w:p>
        </w:tc>
        <w:tc>
          <w:tcPr>
            <w:tcW w:w="1975" w:type="dxa"/>
            <w:vAlign w:val="center"/>
          </w:tcPr>
          <w:p w14:paraId="1B2BDA2F" w14:textId="6798CC69"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&lt;130/80</w:t>
            </w:r>
          </w:p>
        </w:tc>
      </w:tr>
      <w:tr w:rsidR="00DE53C6" w14:paraId="51CC31F7" w14:textId="77777777" w:rsidTr="00033179">
        <w:tc>
          <w:tcPr>
            <w:tcW w:w="7375" w:type="dxa"/>
            <w:vAlign w:val="center"/>
          </w:tcPr>
          <w:p w14:paraId="3E2F3CE0" w14:textId="1A081417" w:rsidR="00DE53C6" w:rsidRPr="00DE53C6" w:rsidRDefault="00DE53C6" w:rsidP="00DE53C6">
            <w:pPr>
              <w:widowControl w:val="0"/>
              <w:autoSpaceDE w:val="0"/>
              <w:autoSpaceDN w:val="0"/>
              <w:adjustRightInd w:val="0"/>
              <w:spacing w:after="0"/>
              <w:ind w:left="60"/>
              <w:rPr>
                <w:rFonts w:asciiTheme="minorHAnsi" w:hAnsiTheme="minorHAnsi" w:cstheme="minorHAnsi"/>
                <w:sz w:val="22"/>
                <w:szCs w:val="22"/>
              </w:rPr>
            </w:pPr>
            <w:r>
              <w:rPr>
                <w:rFonts w:asciiTheme="minorHAnsi" w:hAnsiTheme="minorHAnsi" w:cstheme="minorHAnsi"/>
                <w:sz w:val="22"/>
                <w:szCs w:val="22"/>
              </w:rPr>
              <w:t>Older persons (</w:t>
            </w:r>
            <w:r>
              <w:rPr>
                <w:rFonts w:asciiTheme="minorHAnsi" w:hAnsiTheme="minorHAnsi" w:cstheme="minorHAnsi"/>
                <w:sz w:val="22"/>
                <w:szCs w:val="22"/>
                <w:u w:val="single"/>
              </w:rPr>
              <w:t>&gt;</w:t>
            </w:r>
            <w:r>
              <w:rPr>
                <w:rFonts w:asciiTheme="minorHAnsi" w:hAnsiTheme="minorHAnsi" w:cstheme="minorHAnsi"/>
                <w:sz w:val="22"/>
                <w:szCs w:val="22"/>
              </w:rPr>
              <w:t>65 years of age; noninstitutionalized, ambulatory, community-living adults)</w:t>
            </w:r>
          </w:p>
        </w:tc>
        <w:tc>
          <w:tcPr>
            <w:tcW w:w="1975" w:type="dxa"/>
            <w:vAlign w:val="center"/>
          </w:tcPr>
          <w:p w14:paraId="353F2070" w14:textId="0FDE3CBC"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&lt;130 SBP</w:t>
            </w:r>
          </w:p>
        </w:tc>
      </w:tr>
      <w:tr w:rsidR="00DE53C6" w14:paraId="5387C36D" w14:textId="77777777" w:rsidTr="00DD230C">
        <w:trPr>
          <w:trHeight w:val="143"/>
        </w:trPr>
        <w:tc>
          <w:tcPr>
            <w:tcW w:w="9350" w:type="dxa"/>
            <w:gridSpan w:val="2"/>
            <w:shd w:val="clear" w:color="auto" w:fill="E7E6E6" w:themeFill="background2"/>
            <w:vAlign w:val="center"/>
          </w:tcPr>
          <w:p w14:paraId="6F420A08" w14:textId="1B0371E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b/>
                <w:bCs/>
                <w:sz w:val="22"/>
                <w:szCs w:val="22"/>
              </w:rPr>
              <w:t>Specific comorbidities</w:t>
            </w:r>
          </w:p>
        </w:tc>
      </w:tr>
      <w:tr w:rsidR="00DE53C6" w14:paraId="7052BF2F" w14:textId="77777777" w:rsidTr="00033179">
        <w:tc>
          <w:tcPr>
            <w:tcW w:w="7375" w:type="dxa"/>
            <w:vAlign w:val="center"/>
          </w:tcPr>
          <w:p w14:paraId="2218029B"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Diabetes mellitus</w:t>
            </w:r>
          </w:p>
          <w:p w14:paraId="35BD1474"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CKD</w:t>
            </w:r>
          </w:p>
          <w:p w14:paraId="367255FF"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CKD after renal transplantation</w:t>
            </w:r>
          </w:p>
          <w:p w14:paraId="25B0954E"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Heart failure</w:t>
            </w:r>
          </w:p>
          <w:p w14:paraId="697C1734"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Stable ischemic heart disease</w:t>
            </w:r>
          </w:p>
          <w:p w14:paraId="2C34637D"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Secondary stroke prevention</w:t>
            </w:r>
          </w:p>
          <w:p w14:paraId="1A610371" w14:textId="2DA7F33D"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w:t>
            </w:r>
            <w:r w:rsidR="00033179">
              <w:rPr>
                <w:rFonts w:asciiTheme="minorHAnsi" w:hAnsiTheme="minorHAnsi" w:cstheme="minorHAnsi"/>
                <w:sz w:val="22"/>
                <w:szCs w:val="22"/>
              </w:rPr>
              <w:t>Peripheral arterial disease</w:t>
            </w:r>
          </w:p>
        </w:tc>
        <w:tc>
          <w:tcPr>
            <w:tcW w:w="1975" w:type="dxa"/>
            <w:vAlign w:val="center"/>
          </w:tcPr>
          <w:p w14:paraId="16CDCD89" w14:textId="3A52B6F1"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&lt;130/80</w:t>
            </w:r>
          </w:p>
        </w:tc>
      </w:tr>
    </w:tbl>
    <w:p w14:paraId="101B370E" w14:textId="079D33BB" w:rsidR="00033179" w:rsidRPr="001A4783" w:rsidRDefault="00DE53C6" w:rsidP="00102273">
      <w:pPr>
        <w:widowControl w:val="0"/>
        <w:autoSpaceDE w:val="0"/>
        <w:autoSpaceDN w:val="0"/>
        <w:adjustRightInd w:val="0"/>
        <w:spacing w:after="0"/>
        <w:rPr>
          <w:rFonts w:asciiTheme="minorHAnsi" w:hAnsiTheme="minorHAnsi" w:cstheme="minorHAnsi"/>
          <w:sz w:val="20"/>
          <w:szCs w:val="20"/>
        </w:rPr>
      </w:pPr>
      <w:r w:rsidRPr="001A4783">
        <w:rPr>
          <w:rFonts w:asciiTheme="minorHAnsi" w:hAnsiTheme="minorHAnsi" w:cstheme="minorHAnsi"/>
          <w:sz w:val="20"/>
          <w:szCs w:val="20"/>
        </w:rPr>
        <w:t>ASCVD = atherosclerotic cardiovascular disease; BP = blood pressure; CK</w:t>
      </w:r>
      <w:r w:rsidR="00821E91">
        <w:rPr>
          <w:rFonts w:asciiTheme="minorHAnsi" w:hAnsiTheme="minorHAnsi" w:cstheme="minorHAnsi"/>
          <w:sz w:val="20"/>
          <w:szCs w:val="20"/>
        </w:rPr>
        <w:t>D</w:t>
      </w:r>
      <w:r w:rsidRPr="001A4783">
        <w:rPr>
          <w:rFonts w:asciiTheme="minorHAnsi" w:hAnsiTheme="minorHAnsi" w:cstheme="minorHAnsi"/>
          <w:sz w:val="20"/>
          <w:szCs w:val="20"/>
        </w:rPr>
        <w:t xml:space="preserve"> = chronic kidney disease; CVD = cardiovascular disease</w:t>
      </w:r>
      <w:r w:rsidR="00821E91">
        <w:rPr>
          <w:rFonts w:asciiTheme="minorHAnsi" w:hAnsiTheme="minorHAnsi" w:cstheme="minorHAnsi"/>
          <w:sz w:val="20"/>
          <w:szCs w:val="20"/>
        </w:rPr>
        <w:t>; SBP = systolic blood pressure</w:t>
      </w:r>
    </w:p>
    <w:p w14:paraId="667A4017" w14:textId="744551FA" w:rsidR="00F75871" w:rsidRPr="00A65B27" w:rsidRDefault="00F75871" w:rsidP="00102273">
      <w:pPr>
        <w:widowControl w:val="0"/>
        <w:autoSpaceDE w:val="0"/>
        <w:autoSpaceDN w:val="0"/>
        <w:adjustRightInd w:val="0"/>
        <w:spacing w:after="0"/>
        <w:rPr>
          <w:rFonts w:asciiTheme="minorHAnsi" w:hAnsiTheme="minorHAnsi" w:cstheme="minorHAnsi"/>
          <w:b/>
          <w:bCs/>
          <w:u w:val="single"/>
        </w:rPr>
      </w:pPr>
      <w:r w:rsidRPr="00A65B27">
        <w:rPr>
          <w:rFonts w:asciiTheme="minorHAnsi" w:hAnsiTheme="minorHAnsi" w:cstheme="minorHAnsi"/>
          <w:b/>
          <w:bCs/>
          <w:u w:val="single"/>
        </w:rPr>
        <w:lastRenderedPageBreak/>
        <w:t xml:space="preserve">Disease Treatment: </w:t>
      </w:r>
    </w:p>
    <w:p w14:paraId="2B362FB9" w14:textId="77777777" w:rsidR="00033179" w:rsidRPr="00831E3D" w:rsidRDefault="00033179" w:rsidP="00102273">
      <w:pPr>
        <w:widowControl w:val="0"/>
        <w:autoSpaceDE w:val="0"/>
        <w:autoSpaceDN w:val="0"/>
        <w:adjustRightInd w:val="0"/>
        <w:spacing w:after="0"/>
        <w:rPr>
          <w:rFonts w:asciiTheme="minorHAnsi" w:hAnsiTheme="minorHAnsi" w:cstheme="minorHAnsi"/>
          <w:sz w:val="22"/>
          <w:szCs w:val="22"/>
        </w:rPr>
      </w:pPr>
    </w:p>
    <w:p w14:paraId="16D604C9" w14:textId="6019E279" w:rsidR="00102273" w:rsidRDefault="00102273" w:rsidP="00102273">
      <w:pPr>
        <w:widowControl w:val="0"/>
        <w:autoSpaceDE w:val="0"/>
        <w:autoSpaceDN w:val="0"/>
        <w:adjustRightInd w:val="0"/>
        <w:spacing w:after="0"/>
        <w:rPr>
          <w:rFonts w:asciiTheme="minorHAnsi" w:hAnsiTheme="minorHAnsi" w:cstheme="minorHAnsi"/>
          <w:i/>
          <w:iCs/>
          <w:sz w:val="22"/>
          <w:szCs w:val="22"/>
        </w:rPr>
      </w:pPr>
      <w:r w:rsidRPr="00831E3D">
        <w:rPr>
          <w:rFonts w:asciiTheme="minorHAnsi" w:hAnsiTheme="minorHAnsi" w:cstheme="minorHAnsi"/>
          <w:i/>
          <w:iCs/>
          <w:sz w:val="22"/>
          <w:szCs w:val="22"/>
        </w:rPr>
        <w:t>Lifestyle Management</w:t>
      </w:r>
    </w:p>
    <w:p w14:paraId="00F414C5" w14:textId="1AFA5067" w:rsidR="00033179" w:rsidRDefault="00033179" w:rsidP="00102273">
      <w:pPr>
        <w:widowControl w:val="0"/>
        <w:autoSpaceDE w:val="0"/>
        <w:autoSpaceDN w:val="0"/>
        <w:adjustRightInd w:val="0"/>
        <w:spacing w:after="0"/>
        <w:rPr>
          <w:rFonts w:ascii="Calibri" w:hAnsi="Calibri"/>
          <w:sz w:val="22"/>
          <w:szCs w:val="22"/>
        </w:rPr>
      </w:pPr>
      <w:r w:rsidRPr="00B138C6">
        <w:rPr>
          <w:rFonts w:ascii="Calibri" w:hAnsi="Calibri"/>
          <w:sz w:val="22"/>
          <w:szCs w:val="22"/>
        </w:rPr>
        <w:t>Healthy lifestyles are recommended for all patients with hypertension</w:t>
      </w:r>
      <w:r w:rsidRPr="000553A7">
        <w:rPr>
          <w:rFonts w:ascii="Calibri" w:hAnsi="Calibri"/>
          <w:sz w:val="22"/>
          <w:szCs w:val="22"/>
        </w:rPr>
        <w:t xml:space="preserve">. </w:t>
      </w:r>
      <w:r>
        <w:rPr>
          <w:rFonts w:ascii="Calibri" w:hAnsi="Calibri"/>
          <w:sz w:val="22"/>
          <w:szCs w:val="22"/>
        </w:rPr>
        <w:t>Pharmacists</w:t>
      </w:r>
      <w:r w:rsidRPr="000553A7">
        <w:rPr>
          <w:rFonts w:ascii="Calibri" w:hAnsi="Calibri"/>
          <w:sz w:val="22"/>
          <w:szCs w:val="22"/>
        </w:rPr>
        <w:t xml:space="preserve"> may assess if patients have</w:t>
      </w:r>
      <w:r>
        <w:rPr>
          <w:rFonts w:ascii="Calibri" w:hAnsi="Calibri"/>
          <w:sz w:val="22"/>
          <w:szCs w:val="22"/>
        </w:rPr>
        <w:t xml:space="preserve"> significant</w:t>
      </w:r>
      <w:r w:rsidRPr="000553A7">
        <w:rPr>
          <w:rFonts w:ascii="Calibri" w:hAnsi="Calibri"/>
          <w:sz w:val="22"/>
          <w:szCs w:val="22"/>
        </w:rPr>
        <w:t xml:space="preserve"> room for improvement in diet and/or exercise and assist with appropriate goal setting toward healthier lifestyles</w:t>
      </w:r>
      <w:r>
        <w:rPr>
          <w:rFonts w:ascii="Calibri" w:hAnsi="Calibri"/>
          <w:sz w:val="22"/>
          <w:szCs w:val="22"/>
        </w:rPr>
        <w:t xml:space="preserve">. </w:t>
      </w:r>
    </w:p>
    <w:p w14:paraId="1C00C3A5" w14:textId="77777777" w:rsidR="00033179" w:rsidRDefault="00033179" w:rsidP="00102273">
      <w:pPr>
        <w:widowControl w:val="0"/>
        <w:autoSpaceDE w:val="0"/>
        <w:autoSpaceDN w:val="0"/>
        <w:adjustRightInd w:val="0"/>
        <w:spacing w:after="0"/>
        <w:rPr>
          <w:rFonts w:asciiTheme="minorHAnsi" w:hAnsiTheme="minorHAnsi" w:cstheme="minorHAnsi"/>
          <w:sz w:val="22"/>
          <w:szCs w:val="22"/>
        </w:rPr>
      </w:pPr>
    </w:p>
    <w:p w14:paraId="5BBE2F89" w14:textId="2820FA95" w:rsidR="00DD230C" w:rsidRPr="00DD230C" w:rsidRDefault="00DD230C" w:rsidP="00102273">
      <w:pPr>
        <w:widowControl w:val="0"/>
        <w:autoSpaceDE w:val="0"/>
        <w:autoSpaceDN w:val="0"/>
        <w:adjustRightInd w:val="0"/>
        <w:spacing w:after="0"/>
        <w:rPr>
          <w:rFonts w:asciiTheme="minorHAnsi" w:hAnsiTheme="minorHAnsi" w:cstheme="minorHAnsi"/>
          <w:b/>
          <w:bCs/>
          <w:sz w:val="22"/>
          <w:szCs w:val="22"/>
        </w:rPr>
      </w:pPr>
      <w:r>
        <w:rPr>
          <w:rFonts w:asciiTheme="minorHAnsi" w:hAnsiTheme="minorHAnsi" w:cstheme="minorHAnsi"/>
          <w:b/>
          <w:bCs/>
          <w:sz w:val="22"/>
          <w:szCs w:val="22"/>
        </w:rPr>
        <w:t>Table 2: Lifestyle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640"/>
      </w:tblGrid>
      <w:tr w:rsidR="00D67BA7" w:rsidRPr="00331447" w14:paraId="7289941B" w14:textId="77777777" w:rsidTr="001A4783">
        <w:trPr>
          <w:trHeight w:hRule="exact" w:val="20"/>
        </w:trPr>
        <w:tc>
          <w:tcPr>
            <w:tcW w:w="1720" w:type="dxa"/>
            <w:tcBorders>
              <w:top w:val="nil"/>
              <w:left w:val="nil"/>
              <w:bottom w:val="nil"/>
              <w:right w:val="nil"/>
            </w:tcBorders>
            <w:shd w:val="clear" w:color="auto" w:fill="B4C6E7"/>
            <w:vAlign w:val="center"/>
          </w:tcPr>
          <w:p w14:paraId="5C613870" w14:textId="77777777" w:rsidR="00D67BA7" w:rsidRDefault="00D67BA7" w:rsidP="00927236">
            <w:pPr>
              <w:rPr>
                <w:sz w:val="2"/>
              </w:rPr>
            </w:pPr>
            <w:bookmarkStart w:id="1" w:name="_9ebea28a_33d7_4fdc_8cad_8eed17202066"/>
          </w:p>
        </w:tc>
        <w:tc>
          <w:tcPr>
            <w:tcW w:w="7640" w:type="dxa"/>
            <w:tcBorders>
              <w:top w:val="nil"/>
              <w:left w:val="nil"/>
              <w:bottom w:val="nil"/>
              <w:right w:val="nil"/>
            </w:tcBorders>
            <w:shd w:val="clear" w:color="auto" w:fill="auto"/>
          </w:tcPr>
          <w:p w14:paraId="18BF00AC" w14:textId="0D2B79A9" w:rsidR="00D67BA7" w:rsidRDefault="00033179" w:rsidP="00033179">
            <w:pPr>
              <w:tabs>
                <w:tab w:val="left" w:pos="1350"/>
              </w:tabs>
              <w:rPr>
                <w:sz w:val="2"/>
              </w:rPr>
            </w:pPr>
            <w:r>
              <w:rPr>
                <w:sz w:val="2"/>
              </w:rPr>
              <w:tab/>
            </w:r>
          </w:p>
        </w:tc>
      </w:tr>
      <w:tr w:rsidR="00D67BA7" w:rsidRPr="00331447" w14:paraId="06F3040B" w14:textId="77777777" w:rsidTr="00821E91">
        <w:trPr>
          <w:trHeight w:val="665"/>
        </w:trPr>
        <w:tc>
          <w:tcPr>
            <w:tcW w:w="1720" w:type="dxa"/>
            <w:shd w:val="clear" w:color="auto" w:fill="D0CECE" w:themeFill="background2" w:themeFillShade="E6"/>
            <w:vAlign w:val="center"/>
          </w:tcPr>
          <w:p w14:paraId="2303D6E8" w14:textId="77777777" w:rsidR="00D67BA7" w:rsidRPr="00B91203" w:rsidRDefault="00D67BA7" w:rsidP="00821E91">
            <w:pPr>
              <w:spacing w:after="0"/>
              <w:rPr>
                <w:rFonts w:ascii="Calibri" w:hAnsi="Calibri"/>
                <w:b/>
                <w:sz w:val="20"/>
                <w:szCs w:val="20"/>
              </w:rPr>
            </w:pPr>
            <w:r w:rsidRPr="00B91203">
              <w:rPr>
                <w:rFonts w:ascii="Calibri" w:hAnsi="Calibri"/>
                <w:b/>
                <w:sz w:val="20"/>
                <w:szCs w:val="20"/>
              </w:rPr>
              <w:t>Smoking cessation</w:t>
            </w:r>
          </w:p>
        </w:tc>
        <w:tc>
          <w:tcPr>
            <w:tcW w:w="7640" w:type="dxa"/>
            <w:shd w:val="clear" w:color="auto" w:fill="auto"/>
            <w:vAlign w:val="center"/>
          </w:tcPr>
          <w:p w14:paraId="655848F0" w14:textId="77777777" w:rsidR="00D67BA7" w:rsidRPr="00B03455" w:rsidRDefault="00D67BA7" w:rsidP="00821E91">
            <w:pPr>
              <w:pStyle w:val="ListParagraph"/>
              <w:widowControl/>
              <w:numPr>
                <w:ilvl w:val="0"/>
                <w:numId w:val="15"/>
              </w:numPr>
              <w:autoSpaceDE/>
              <w:autoSpaceDN/>
              <w:contextualSpacing/>
              <w:rPr>
                <w:rFonts w:asciiTheme="minorHAnsi" w:hAnsiTheme="minorHAnsi" w:cstheme="minorHAnsi"/>
              </w:rPr>
            </w:pPr>
            <w:r w:rsidRPr="00B03455">
              <w:rPr>
                <w:rFonts w:asciiTheme="minorHAnsi" w:hAnsiTheme="minorHAnsi" w:cstheme="minorHAnsi"/>
              </w:rPr>
              <w:t>Cessation of tobacco products</w:t>
            </w:r>
          </w:p>
        </w:tc>
      </w:tr>
      <w:tr w:rsidR="00D67BA7" w:rsidRPr="00C125B7" w14:paraId="57AAEF9A" w14:textId="77777777" w:rsidTr="001A4783">
        <w:tc>
          <w:tcPr>
            <w:tcW w:w="1720" w:type="dxa"/>
            <w:shd w:val="clear" w:color="auto" w:fill="D0CECE" w:themeFill="background2" w:themeFillShade="E6"/>
            <w:vAlign w:val="center"/>
          </w:tcPr>
          <w:p w14:paraId="33EEE034" w14:textId="508DDF4B" w:rsidR="00D67BA7" w:rsidRPr="00B91203" w:rsidRDefault="00D67BA7" w:rsidP="00821E91">
            <w:pPr>
              <w:spacing w:after="0"/>
              <w:rPr>
                <w:rFonts w:ascii="Calibri" w:hAnsi="Calibri"/>
                <w:b/>
                <w:sz w:val="20"/>
                <w:szCs w:val="20"/>
              </w:rPr>
            </w:pPr>
            <w:r w:rsidRPr="00B91203">
              <w:rPr>
                <w:rFonts w:ascii="Calibri" w:hAnsi="Calibri"/>
                <w:b/>
                <w:sz w:val="20"/>
                <w:szCs w:val="20"/>
              </w:rPr>
              <w:t xml:space="preserve">Weight </w:t>
            </w:r>
            <w:r w:rsidR="001A4783">
              <w:rPr>
                <w:rFonts w:ascii="Calibri" w:hAnsi="Calibri"/>
                <w:b/>
                <w:sz w:val="20"/>
                <w:szCs w:val="20"/>
              </w:rPr>
              <w:t>management</w:t>
            </w:r>
          </w:p>
        </w:tc>
        <w:tc>
          <w:tcPr>
            <w:tcW w:w="7640" w:type="dxa"/>
            <w:shd w:val="clear" w:color="auto" w:fill="auto"/>
            <w:vAlign w:val="center"/>
          </w:tcPr>
          <w:p w14:paraId="6E1C0C4B" w14:textId="5472703E" w:rsidR="00D67BA7" w:rsidRPr="00B03455" w:rsidRDefault="00D67BA7" w:rsidP="00821E91">
            <w:pPr>
              <w:pStyle w:val="ListParagraph"/>
              <w:widowControl/>
              <w:numPr>
                <w:ilvl w:val="0"/>
                <w:numId w:val="15"/>
              </w:numPr>
              <w:autoSpaceDE/>
              <w:autoSpaceDN/>
              <w:contextualSpacing/>
              <w:rPr>
                <w:rFonts w:asciiTheme="minorHAnsi" w:hAnsiTheme="minorHAnsi" w:cstheme="minorHAnsi"/>
              </w:rPr>
            </w:pPr>
            <w:r w:rsidRPr="00B03455">
              <w:rPr>
                <w:rFonts w:asciiTheme="minorHAnsi" w:hAnsiTheme="minorHAnsi" w:cstheme="minorHAnsi"/>
              </w:rPr>
              <w:t>Maintain healthy body weight (BMI 18.5-24.9 kg/m</w:t>
            </w:r>
            <w:r w:rsidRPr="00B03455">
              <w:rPr>
                <w:rFonts w:asciiTheme="minorHAnsi" w:hAnsiTheme="minorHAnsi" w:cstheme="minorHAnsi"/>
                <w:vertAlign w:val="superscript"/>
              </w:rPr>
              <w:t>2</w:t>
            </w:r>
            <w:r w:rsidRPr="00B03455">
              <w:rPr>
                <w:rFonts w:asciiTheme="minorHAnsi" w:hAnsiTheme="minorHAnsi" w:cstheme="minorHAnsi"/>
              </w:rPr>
              <w:t>)</w:t>
            </w:r>
          </w:p>
          <w:p w14:paraId="299F19BB" w14:textId="726324EA" w:rsidR="00D67BA7" w:rsidRPr="00AC7ABD" w:rsidDel="00DC6289" w:rsidRDefault="00AC7ABD" w:rsidP="00821E91">
            <w:pPr>
              <w:pStyle w:val="ListParagraph"/>
              <w:widowControl/>
              <w:numPr>
                <w:ilvl w:val="0"/>
                <w:numId w:val="15"/>
              </w:numPr>
              <w:autoSpaceDE/>
              <w:autoSpaceDN/>
              <w:contextualSpacing/>
              <w:rPr>
                <w:rFonts w:asciiTheme="minorHAnsi" w:hAnsiTheme="minorHAnsi" w:cstheme="minorHAnsi"/>
              </w:rPr>
            </w:pPr>
            <w:r>
              <w:rPr>
                <w:rFonts w:asciiTheme="minorHAnsi" w:hAnsiTheme="minorHAnsi" w:cstheme="minorHAnsi"/>
              </w:rPr>
              <w:t>Aim for at least</w:t>
            </w:r>
            <w:r w:rsidR="00D67BA7" w:rsidRPr="00B03455">
              <w:rPr>
                <w:rFonts w:asciiTheme="minorHAnsi" w:hAnsiTheme="minorHAnsi" w:cstheme="minorHAnsi"/>
              </w:rPr>
              <w:t xml:space="preserve"> 1- kilogram reduction in body weight for </w:t>
            </w:r>
            <w:r>
              <w:rPr>
                <w:rFonts w:asciiTheme="minorHAnsi" w:hAnsiTheme="minorHAnsi" w:cstheme="minorHAnsi"/>
              </w:rPr>
              <w:t xml:space="preserve">most </w:t>
            </w:r>
            <w:r w:rsidR="00D67BA7" w:rsidRPr="00B03455">
              <w:rPr>
                <w:rFonts w:asciiTheme="minorHAnsi" w:hAnsiTheme="minorHAnsi" w:cstheme="minorHAnsi"/>
              </w:rPr>
              <w:t>adults who are overweight</w:t>
            </w:r>
          </w:p>
        </w:tc>
      </w:tr>
      <w:tr w:rsidR="00D67BA7" w:rsidRPr="00331447" w14:paraId="50E1D4E6" w14:textId="77777777" w:rsidTr="001A4783">
        <w:tc>
          <w:tcPr>
            <w:tcW w:w="1720" w:type="dxa"/>
            <w:shd w:val="clear" w:color="auto" w:fill="D0CECE" w:themeFill="background2" w:themeFillShade="E6"/>
            <w:vAlign w:val="center"/>
          </w:tcPr>
          <w:p w14:paraId="53B6CA86" w14:textId="77777777" w:rsidR="00D67BA7" w:rsidRPr="00B91203" w:rsidRDefault="00D67BA7" w:rsidP="00821E91">
            <w:pPr>
              <w:spacing w:after="0"/>
              <w:rPr>
                <w:rFonts w:ascii="Calibri" w:hAnsi="Calibri"/>
                <w:b/>
                <w:sz w:val="20"/>
                <w:szCs w:val="20"/>
              </w:rPr>
            </w:pPr>
            <w:r w:rsidRPr="00B91203">
              <w:rPr>
                <w:rFonts w:ascii="Calibri" w:hAnsi="Calibri"/>
                <w:b/>
                <w:sz w:val="20"/>
                <w:szCs w:val="20"/>
              </w:rPr>
              <w:t>Nutrition</w:t>
            </w:r>
          </w:p>
        </w:tc>
        <w:tc>
          <w:tcPr>
            <w:tcW w:w="7640" w:type="dxa"/>
            <w:shd w:val="clear" w:color="auto" w:fill="auto"/>
            <w:vAlign w:val="center"/>
          </w:tcPr>
          <w:p w14:paraId="68AC04EC" w14:textId="3FF4FFCC" w:rsidR="00D67BA7" w:rsidRDefault="00D67BA7" w:rsidP="00821E91">
            <w:pPr>
              <w:pStyle w:val="ListParagraph"/>
              <w:widowControl/>
              <w:numPr>
                <w:ilvl w:val="0"/>
                <w:numId w:val="12"/>
              </w:numPr>
              <w:autoSpaceDE/>
              <w:autoSpaceDN/>
              <w:contextualSpacing/>
              <w:rPr>
                <w:rFonts w:asciiTheme="minorHAnsi" w:hAnsiTheme="minorHAnsi" w:cstheme="minorHAnsi"/>
              </w:rPr>
            </w:pPr>
            <w:r w:rsidRPr="00B03455">
              <w:rPr>
                <w:rFonts w:asciiTheme="minorHAnsi" w:hAnsiTheme="minorHAnsi" w:cstheme="minorHAnsi"/>
              </w:rPr>
              <w:t>DASH</w:t>
            </w:r>
            <w:r w:rsidR="00AC7ABD">
              <w:rPr>
                <w:rFonts w:asciiTheme="minorHAnsi" w:hAnsiTheme="minorHAnsi" w:cstheme="minorHAnsi"/>
              </w:rPr>
              <w:t xml:space="preserve"> dietary pattern</w:t>
            </w:r>
          </w:p>
          <w:p w14:paraId="4536096A" w14:textId="7B6D736C" w:rsidR="00AC7ABD" w:rsidRPr="00B03455" w:rsidRDefault="00AC7ABD" w:rsidP="00821E91">
            <w:pPr>
              <w:pStyle w:val="ListParagraph"/>
              <w:widowControl/>
              <w:numPr>
                <w:ilvl w:val="0"/>
                <w:numId w:val="12"/>
              </w:numPr>
              <w:autoSpaceDE/>
              <w:autoSpaceDN/>
              <w:contextualSpacing/>
              <w:rPr>
                <w:rFonts w:asciiTheme="minorHAnsi" w:hAnsiTheme="minorHAnsi" w:cstheme="minorHAnsi"/>
              </w:rPr>
            </w:pPr>
            <w:r>
              <w:rPr>
                <w:rFonts w:asciiTheme="minorHAnsi" w:hAnsiTheme="minorHAnsi" w:cstheme="minorHAnsi"/>
              </w:rPr>
              <w:t>Consume a diet rich in fruits, vegetables, whole grains, and low-fat dairy products, with reduced content of saturated and total fat</w:t>
            </w:r>
          </w:p>
          <w:p w14:paraId="61B2EFED" w14:textId="77777777" w:rsidR="00D67BA7" w:rsidRDefault="00D67BA7" w:rsidP="00821E91">
            <w:pPr>
              <w:pStyle w:val="ListParagraph"/>
              <w:widowControl/>
              <w:numPr>
                <w:ilvl w:val="0"/>
                <w:numId w:val="12"/>
              </w:numPr>
              <w:autoSpaceDE/>
              <w:autoSpaceDN/>
              <w:contextualSpacing/>
              <w:rPr>
                <w:rFonts w:asciiTheme="minorHAnsi" w:hAnsiTheme="minorHAnsi" w:cstheme="minorHAnsi"/>
              </w:rPr>
            </w:pPr>
            <w:r w:rsidRPr="00B03455">
              <w:rPr>
                <w:rFonts w:asciiTheme="minorHAnsi" w:hAnsiTheme="minorHAnsi" w:cstheme="minorHAnsi"/>
              </w:rPr>
              <w:t>Sodium intake &lt;1500 mg/day</w:t>
            </w:r>
            <w:r w:rsidR="00AC7ABD">
              <w:rPr>
                <w:rFonts w:asciiTheme="minorHAnsi" w:hAnsiTheme="minorHAnsi" w:cstheme="minorHAnsi"/>
              </w:rPr>
              <w:t xml:space="preserve"> optimal; at least 1000 mg/day reduction for most adults</w:t>
            </w:r>
          </w:p>
          <w:p w14:paraId="2A45BFF5" w14:textId="22026A1B" w:rsidR="00AC7ABD" w:rsidRPr="00B03455" w:rsidRDefault="00AC7ABD" w:rsidP="00821E91">
            <w:pPr>
              <w:pStyle w:val="ListParagraph"/>
              <w:widowControl/>
              <w:numPr>
                <w:ilvl w:val="0"/>
                <w:numId w:val="12"/>
              </w:numPr>
              <w:autoSpaceDE/>
              <w:autoSpaceDN/>
              <w:contextualSpacing/>
              <w:rPr>
                <w:rFonts w:asciiTheme="minorHAnsi" w:hAnsiTheme="minorHAnsi" w:cstheme="minorHAnsi"/>
              </w:rPr>
            </w:pPr>
            <w:r>
              <w:rPr>
                <w:rFonts w:asciiTheme="minorHAnsi" w:hAnsiTheme="minorHAnsi" w:cstheme="minorHAnsi"/>
              </w:rPr>
              <w:t>Potassium intake 3500-5000 mg/day, preferably by consumption of a diet rich in potassium</w:t>
            </w:r>
          </w:p>
        </w:tc>
      </w:tr>
      <w:tr w:rsidR="00D67BA7" w:rsidRPr="00331447" w14:paraId="16F30B36" w14:textId="77777777" w:rsidTr="001A4783">
        <w:tc>
          <w:tcPr>
            <w:tcW w:w="1720" w:type="dxa"/>
            <w:shd w:val="clear" w:color="auto" w:fill="D0CECE" w:themeFill="background2" w:themeFillShade="E6"/>
            <w:vAlign w:val="center"/>
          </w:tcPr>
          <w:p w14:paraId="02B14C8E" w14:textId="77777777" w:rsidR="00D67BA7" w:rsidRPr="00B91203" w:rsidRDefault="00D67BA7" w:rsidP="00821E91">
            <w:pPr>
              <w:spacing w:after="0"/>
              <w:rPr>
                <w:rFonts w:ascii="Calibri" w:hAnsi="Calibri"/>
                <w:b/>
                <w:sz w:val="20"/>
                <w:szCs w:val="20"/>
              </w:rPr>
            </w:pPr>
            <w:r w:rsidRPr="00B91203">
              <w:rPr>
                <w:rFonts w:ascii="Calibri" w:hAnsi="Calibri"/>
                <w:b/>
                <w:sz w:val="20"/>
                <w:szCs w:val="20"/>
              </w:rPr>
              <w:t>Physical activity</w:t>
            </w:r>
          </w:p>
        </w:tc>
        <w:tc>
          <w:tcPr>
            <w:tcW w:w="7640" w:type="dxa"/>
            <w:shd w:val="clear" w:color="auto" w:fill="auto"/>
            <w:vAlign w:val="center"/>
          </w:tcPr>
          <w:p w14:paraId="66D2A49F" w14:textId="77777777" w:rsidR="00D67BA7" w:rsidRPr="00B03455" w:rsidRDefault="00D67BA7" w:rsidP="00821E91">
            <w:pPr>
              <w:pStyle w:val="ListParagraph"/>
              <w:widowControl/>
              <w:numPr>
                <w:ilvl w:val="0"/>
                <w:numId w:val="13"/>
              </w:numPr>
              <w:autoSpaceDE/>
              <w:autoSpaceDN/>
              <w:contextualSpacing/>
              <w:rPr>
                <w:rFonts w:asciiTheme="minorHAnsi" w:hAnsiTheme="minorHAnsi" w:cstheme="minorHAnsi"/>
              </w:rPr>
            </w:pPr>
            <w:r w:rsidRPr="00B03455">
              <w:rPr>
                <w:rFonts w:asciiTheme="minorHAnsi" w:hAnsiTheme="minorHAnsi" w:cstheme="minorHAnsi"/>
              </w:rPr>
              <w:t>Moderate-to-vigorous intensity aerobic activity ≥150 min/week spread over at least 3 days/day with no more than 2 consecutive days without activity</w:t>
            </w:r>
          </w:p>
          <w:p w14:paraId="3A025B14" w14:textId="77777777" w:rsidR="00D67BA7" w:rsidRPr="00B03455" w:rsidRDefault="00D67BA7" w:rsidP="00821E91">
            <w:pPr>
              <w:pStyle w:val="ListParagraph"/>
              <w:widowControl/>
              <w:numPr>
                <w:ilvl w:val="0"/>
                <w:numId w:val="13"/>
              </w:numPr>
              <w:autoSpaceDE/>
              <w:autoSpaceDN/>
              <w:contextualSpacing/>
              <w:rPr>
                <w:rFonts w:asciiTheme="minorHAnsi" w:hAnsiTheme="minorHAnsi" w:cstheme="minorHAnsi"/>
              </w:rPr>
            </w:pPr>
            <w:r w:rsidRPr="00B03455">
              <w:rPr>
                <w:rFonts w:asciiTheme="minorHAnsi" w:hAnsiTheme="minorHAnsi" w:cstheme="minorHAnsi"/>
              </w:rPr>
              <w:t xml:space="preserve">Resistance training 2-3 sessions/week on nonconsecutive days </w:t>
            </w:r>
          </w:p>
          <w:p w14:paraId="076CEDA7" w14:textId="77777777" w:rsidR="00D67BA7" w:rsidRPr="00B03455" w:rsidRDefault="00D67BA7" w:rsidP="00821E91">
            <w:pPr>
              <w:pStyle w:val="ListParagraph"/>
              <w:widowControl/>
              <w:numPr>
                <w:ilvl w:val="0"/>
                <w:numId w:val="13"/>
              </w:numPr>
              <w:autoSpaceDE/>
              <w:autoSpaceDN/>
              <w:contextualSpacing/>
              <w:rPr>
                <w:rFonts w:asciiTheme="minorHAnsi" w:hAnsiTheme="minorHAnsi" w:cstheme="minorHAnsi"/>
              </w:rPr>
            </w:pPr>
            <w:r w:rsidRPr="00B03455">
              <w:rPr>
                <w:rFonts w:asciiTheme="minorHAnsi" w:hAnsiTheme="minorHAnsi" w:cstheme="minorHAnsi"/>
              </w:rPr>
              <w:t xml:space="preserve">Flexibility training and balance training 2-3 times/week for older adults </w:t>
            </w:r>
          </w:p>
          <w:p w14:paraId="78E5DBE8" w14:textId="77777777" w:rsidR="00D67BA7" w:rsidRPr="00B03455" w:rsidRDefault="00D67BA7" w:rsidP="00821E91">
            <w:pPr>
              <w:pStyle w:val="ListParagraph"/>
              <w:widowControl/>
              <w:numPr>
                <w:ilvl w:val="0"/>
                <w:numId w:val="13"/>
              </w:numPr>
              <w:autoSpaceDE/>
              <w:autoSpaceDN/>
              <w:contextualSpacing/>
              <w:rPr>
                <w:rFonts w:asciiTheme="minorHAnsi" w:hAnsiTheme="minorHAnsi" w:cstheme="minorHAnsi"/>
              </w:rPr>
            </w:pPr>
            <w:r w:rsidRPr="00B03455">
              <w:rPr>
                <w:rFonts w:asciiTheme="minorHAnsi" w:hAnsiTheme="minorHAnsi" w:cstheme="minorHAnsi"/>
              </w:rPr>
              <w:t>Increase physical activity as tolerated</w:t>
            </w:r>
          </w:p>
          <w:p w14:paraId="253254FC" w14:textId="77777777" w:rsidR="00D67BA7" w:rsidRPr="00B03455" w:rsidRDefault="00D67BA7" w:rsidP="00821E91">
            <w:pPr>
              <w:pStyle w:val="ListParagraph"/>
              <w:widowControl/>
              <w:numPr>
                <w:ilvl w:val="0"/>
                <w:numId w:val="13"/>
              </w:numPr>
              <w:autoSpaceDE/>
              <w:autoSpaceDN/>
              <w:contextualSpacing/>
              <w:rPr>
                <w:rFonts w:asciiTheme="minorHAnsi" w:hAnsiTheme="minorHAnsi" w:cstheme="minorHAnsi"/>
              </w:rPr>
            </w:pPr>
            <w:r w:rsidRPr="00B03455">
              <w:rPr>
                <w:rFonts w:asciiTheme="minorHAnsi" w:hAnsiTheme="minorHAnsi" w:cstheme="minorHAnsi"/>
              </w:rPr>
              <w:t>Prolonged sitting should be interrupted every 30 minutes</w:t>
            </w:r>
          </w:p>
        </w:tc>
      </w:tr>
      <w:tr w:rsidR="00D67BA7" w:rsidRPr="00331447" w14:paraId="442F4BBD" w14:textId="77777777" w:rsidTr="001A4783">
        <w:tc>
          <w:tcPr>
            <w:tcW w:w="1720" w:type="dxa"/>
            <w:shd w:val="clear" w:color="auto" w:fill="D0CECE" w:themeFill="background2" w:themeFillShade="E6"/>
            <w:vAlign w:val="center"/>
          </w:tcPr>
          <w:p w14:paraId="4D04FD4B" w14:textId="77777777" w:rsidR="00D67BA7" w:rsidRPr="00B91203" w:rsidRDefault="00D67BA7" w:rsidP="00821E91">
            <w:pPr>
              <w:spacing w:after="0"/>
              <w:rPr>
                <w:rFonts w:ascii="Calibri" w:hAnsi="Calibri"/>
                <w:b/>
                <w:sz w:val="20"/>
                <w:szCs w:val="20"/>
              </w:rPr>
            </w:pPr>
            <w:r w:rsidRPr="00B91203">
              <w:rPr>
                <w:rFonts w:ascii="Calibri" w:hAnsi="Calibri"/>
                <w:b/>
                <w:sz w:val="20"/>
                <w:szCs w:val="20"/>
              </w:rPr>
              <w:t>Moderation in alcohol intake</w:t>
            </w:r>
          </w:p>
        </w:tc>
        <w:tc>
          <w:tcPr>
            <w:tcW w:w="7640" w:type="dxa"/>
            <w:shd w:val="clear" w:color="auto" w:fill="auto"/>
            <w:vAlign w:val="center"/>
          </w:tcPr>
          <w:p w14:paraId="53760BC6" w14:textId="77777777" w:rsidR="00D67BA7" w:rsidRPr="00B03455" w:rsidRDefault="00D67BA7" w:rsidP="00821E91">
            <w:pPr>
              <w:spacing w:after="0"/>
              <w:rPr>
                <w:rFonts w:asciiTheme="minorHAnsi" w:hAnsiTheme="minorHAnsi" w:cstheme="minorHAnsi"/>
                <w:sz w:val="22"/>
                <w:szCs w:val="22"/>
              </w:rPr>
            </w:pPr>
            <w:r w:rsidRPr="00B03455">
              <w:rPr>
                <w:rFonts w:asciiTheme="minorHAnsi" w:hAnsiTheme="minorHAnsi" w:cstheme="minorHAnsi"/>
                <w:sz w:val="22"/>
                <w:szCs w:val="22"/>
              </w:rPr>
              <w:t>For individuals who choose to drink alcohol, intake should be limited to:</w:t>
            </w:r>
          </w:p>
          <w:p w14:paraId="72AE897D" w14:textId="77777777" w:rsidR="00D67BA7" w:rsidRPr="00B03455" w:rsidRDefault="00D67BA7" w:rsidP="00821E91">
            <w:pPr>
              <w:pStyle w:val="ListParagraph"/>
              <w:widowControl/>
              <w:numPr>
                <w:ilvl w:val="0"/>
                <w:numId w:val="14"/>
              </w:numPr>
              <w:autoSpaceDE/>
              <w:autoSpaceDN/>
              <w:contextualSpacing/>
              <w:rPr>
                <w:rFonts w:asciiTheme="minorHAnsi" w:hAnsiTheme="minorHAnsi" w:cstheme="minorHAnsi"/>
              </w:rPr>
            </w:pPr>
            <w:r w:rsidRPr="00B03455">
              <w:rPr>
                <w:rFonts w:asciiTheme="minorHAnsi" w:hAnsiTheme="minorHAnsi" w:cstheme="minorHAnsi"/>
              </w:rPr>
              <w:t xml:space="preserve">Women: </w:t>
            </w:r>
            <w:r w:rsidRPr="00B03455">
              <w:rPr>
                <w:rFonts w:asciiTheme="minorHAnsi" w:hAnsiTheme="minorHAnsi" w:cstheme="minorHAnsi"/>
                <w:u w:val="single"/>
              </w:rPr>
              <w:t>&lt;</w:t>
            </w:r>
            <w:r w:rsidRPr="00B03455">
              <w:rPr>
                <w:rFonts w:asciiTheme="minorHAnsi" w:hAnsiTheme="minorHAnsi" w:cstheme="minorHAnsi"/>
              </w:rPr>
              <w:t xml:space="preserve"> 1 drink per day (maximum of 7/week)</w:t>
            </w:r>
          </w:p>
          <w:p w14:paraId="2CDD6318" w14:textId="77777777" w:rsidR="00D67BA7" w:rsidRPr="00B03455" w:rsidRDefault="00D67BA7" w:rsidP="00821E91">
            <w:pPr>
              <w:pStyle w:val="ListParagraph"/>
              <w:widowControl/>
              <w:numPr>
                <w:ilvl w:val="0"/>
                <w:numId w:val="14"/>
              </w:numPr>
              <w:autoSpaceDE/>
              <w:autoSpaceDN/>
              <w:contextualSpacing/>
              <w:rPr>
                <w:rFonts w:asciiTheme="minorHAnsi" w:hAnsiTheme="minorHAnsi" w:cstheme="minorHAnsi"/>
              </w:rPr>
            </w:pPr>
            <w:r w:rsidRPr="00B03455">
              <w:rPr>
                <w:rFonts w:asciiTheme="minorHAnsi" w:hAnsiTheme="minorHAnsi" w:cstheme="minorHAnsi"/>
              </w:rPr>
              <w:t xml:space="preserve">Men: </w:t>
            </w:r>
            <w:r w:rsidRPr="00B03455">
              <w:rPr>
                <w:rFonts w:asciiTheme="minorHAnsi" w:hAnsiTheme="minorHAnsi" w:cstheme="minorHAnsi"/>
                <w:u w:val="single"/>
              </w:rPr>
              <w:t>&lt;</w:t>
            </w:r>
            <w:r w:rsidRPr="00B03455">
              <w:rPr>
                <w:rFonts w:asciiTheme="minorHAnsi" w:hAnsiTheme="minorHAnsi" w:cstheme="minorHAnsi"/>
              </w:rPr>
              <w:t xml:space="preserve"> 2 drinks per day (maximum of 14/week)</w:t>
            </w:r>
          </w:p>
        </w:tc>
      </w:tr>
      <w:tr w:rsidR="00624A57" w:rsidRPr="00331447" w14:paraId="23B4BCDA" w14:textId="77777777" w:rsidTr="001A4783">
        <w:tc>
          <w:tcPr>
            <w:tcW w:w="1720" w:type="dxa"/>
            <w:shd w:val="clear" w:color="auto" w:fill="D0CECE" w:themeFill="background2" w:themeFillShade="E6"/>
            <w:vAlign w:val="center"/>
          </w:tcPr>
          <w:p w14:paraId="0CBF891F" w14:textId="3E591048" w:rsidR="00624A57" w:rsidRPr="00B91203" w:rsidRDefault="00624A57" w:rsidP="00821E91">
            <w:pPr>
              <w:spacing w:after="0"/>
              <w:rPr>
                <w:rFonts w:ascii="Calibri" w:hAnsi="Calibri"/>
                <w:b/>
                <w:sz w:val="20"/>
                <w:szCs w:val="20"/>
              </w:rPr>
            </w:pPr>
            <w:r>
              <w:rPr>
                <w:rFonts w:ascii="Calibri" w:hAnsi="Calibri"/>
                <w:b/>
                <w:sz w:val="20"/>
                <w:szCs w:val="20"/>
              </w:rPr>
              <w:t>Caffeine</w:t>
            </w:r>
          </w:p>
        </w:tc>
        <w:tc>
          <w:tcPr>
            <w:tcW w:w="7640" w:type="dxa"/>
            <w:shd w:val="clear" w:color="auto" w:fill="auto"/>
            <w:vAlign w:val="center"/>
          </w:tcPr>
          <w:p w14:paraId="1E25B012" w14:textId="77777777" w:rsidR="00624A57" w:rsidRPr="00B03455" w:rsidRDefault="00624A57" w:rsidP="00821E91">
            <w:pPr>
              <w:pStyle w:val="ListParagraph"/>
              <w:numPr>
                <w:ilvl w:val="0"/>
                <w:numId w:val="20"/>
              </w:numPr>
              <w:rPr>
                <w:rFonts w:asciiTheme="minorHAnsi" w:hAnsiTheme="minorHAnsi" w:cstheme="minorHAnsi"/>
              </w:rPr>
            </w:pPr>
            <w:r w:rsidRPr="00B03455">
              <w:rPr>
                <w:rFonts w:asciiTheme="minorHAnsi" w:hAnsiTheme="minorHAnsi" w:cstheme="minorHAnsi"/>
              </w:rPr>
              <w:t>Limit caffeine intake to &lt;300 mg/day</w:t>
            </w:r>
          </w:p>
          <w:p w14:paraId="2AFC14BF" w14:textId="7C94E9D3" w:rsidR="00624A57" w:rsidRPr="00B03455" w:rsidRDefault="00624A57" w:rsidP="00821E91">
            <w:pPr>
              <w:pStyle w:val="ListParagraph"/>
              <w:numPr>
                <w:ilvl w:val="0"/>
                <w:numId w:val="20"/>
              </w:numPr>
              <w:rPr>
                <w:rFonts w:asciiTheme="minorHAnsi" w:hAnsiTheme="minorHAnsi" w:cstheme="minorHAnsi"/>
              </w:rPr>
            </w:pPr>
            <w:r w:rsidRPr="00B03455">
              <w:rPr>
                <w:rFonts w:asciiTheme="minorHAnsi" w:hAnsiTheme="minorHAnsi" w:cstheme="minorHAnsi"/>
              </w:rPr>
              <w:t>Avoid use in uncontrolled hypertension</w:t>
            </w:r>
          </w:p>
        </w:tc>
      </w:tr>
    </w:tbl>
    <w:bookmarkEnd w:id="1"/>
    <w:p w14:paraId="7BD65060" w14:textId="0FF48BF4" w:rsidR="00102273" w:rsidRPr="008B7C78" w:rsidRDefault="008B7C78" w:rsidP="00D67BA7">
      <w:pPr>
        <w:widowControl w:val="0"/>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BMI = body mass index; DASH = Dietary Approaches to Stop Hypertension</w:t>
      </w:r>
    </w:p>
    <w:p w14:paraId="13FF7871" w14:textId="77777777" w:rsidR="008B7C78" w:rsidRDefault="008B7C78" w:rsidP="00B03455">
      <w:pPr>
        <w:pStyle w:val="Default"/>
        <w:rPr>
          <w:rFonts w:asciiTheme="minorHAnsi" w:hAnsiTheme="minorHAnsi" w:cstheme="minorHAnsi"/>
          <w:i/>
          <w:iCs/>
          <w:sz w:val="22"/>
          <w:szCs w:val="22"/>
        </w:rPr>
      </w:pPr>
    </w:p>
    <w:p w14:paraId="09085BBD" w14:textId="33A9CBE2" w:rsidR="00814758" w:rsidRPr="00831E3D" w:rsidRDefault="00814758" w:rsidP="00B03455">
      <w:pPr>
        <w:pStyle w:val="Default"/>
        <w:rPr>
          <w:rFonts w:asciiTheme="minorHAnsi" w:hAnsiTheme="minorHAnsi" w:cstheme="minorHAnsi"/>
          <w:i/>
          <w:iCs/>
          <w:sz w:val="22"/>
          <w:szCs w:val="22"/>
        </w:rPr>
      </w:pPr>
      <w:r w:rsidRPr="00831E3D">
        <w:rPr>
          <w:rFonts w:asciiTheme="minorHAnsi" w:hAnsiTheme="minorHAnsi" w:cstheme="minorHAnsi"/>
          <w:i/>
          <w:iCs/>
          <w:sz w:val="22"/>
          <w:szCs w:val="22"/>
        </w:rPr>
        <w:t xml:space="preserve">Drug Therapy Management </w:t>
      </w:r>
    </w:p>
    <w:p w14:paraId="480AAEAA" w14:textId="2EF504A0" w:rsidR="00814758" w:rsidRPr="00831E3D" w:rsidRDefault="00814758" w:rsidP="00B03455">
      <w:pPr>
        <w:pStyle w:val="Default"/>
        <w:rPr>
          <w:rFonts w:asciiTheme="minorHAnsi" w:hAnsiTheme="minorHAnsi" w:cstheme="minorHAnsi"/>
          <w:sz w:val="22"/>
          <w:szCs w:val="22"/>
        </w:rPr>
      </w:pPr>
      <w:r w:rsidRPr="00831E3D">
        <w:rPr>
          <w:rFonts w:asciiTheme="minorHAnsi" w:hAnsiTheme="minorHAnsi" w:cstheme="minorHAnsi"/>
          <w:sz w:val="22"/>
          <w:szCs w:val="22"/>
        </w:rPr>
        <w:t xml:space="preserve">If </w:t>
      </w:r>
      <w:r w:rsidR="00D67BA7">
        <w:rPr>
          <w:rFonts w:asciiTheme="minorHAnsi" w:hAnsiTheme="minorHAnsi" w:cstheme="minorHAnsi"/>
          <w:sz w:val="22"/>
          <w:szCs w:val="22"/>
        </w:rPr>
        <w:t xml:space="preserve">blood pressure is </w:t>
      </w:r>
      <w:r w:rsidRPr="00831E3D">
        <w:rPr>
          <w:rFonts w:asciiTheme="minorHAnsi" w:hAnsiTheme="minorHAnsi" w:cstheme="minorHAnsi"/>
          <w:sz w:val="22"/>
          <w:szCs w:val="22"/>
        </w:rPr>
        <w:t>not at goal</w:t>
      </w:r>
      <w:r w:rsidR="00624E97">
        <w:rPr>
          <w:rFonts w:asciiTheme="minorHAnsi" w:hAnsiTheme="minorHAnsi" w:cstheme="minorHAnsi"/>
          <w:sz w:val="22"/>
          <w:szCs w:val="22"/>
        </w:rPr>
        <w:t xml:space="preserve"> </w:t>
      </w:r>
      <w:r w:rsidR="00033179">
        <w:rPr>
          <w:rFonts w:asciiTheme="minorHAnsi" w:hAnsiTheme="minorHAnsi" w:cstheme="minorHAnsi"/>
          <w:sz w:val="22"/>
          <w:szCs w:val="22"/>
        </w:rPr>
        <w:t xml:space="preserve">as </w:t>
      </w:r>
      <w:r w:rsidR="00624E97">
        <w:rPr>
          <w:rFonts w:asciiTheme="minorHAnsi" w:hAnsiTheme="minorHAnsi" w:cstheme="minorHAnsi"/>
          <w:sz w:val="22"/>
          <w:szCs w:val="22"/>
        </w:rPr>
        <w:t>outlined in Table 1</w:t>
      </w:r>
      <w:r w:rsidR="00D67BA7">
        <w:rPr>
          <w:rFonts w:asciiTheme="minorHAnsi" w:hAnsiTheme="minorHAnsi" w:cstheme="minorHAnsi"/>
          <w:sz w:val="22"/>
          <w:szCs w:val="22"/>
        </w:rPr>
        <w:t xml:space="preserve"> or</w:t>
      </w:r>
      <w:r w:rsidR="00EA40C3">
        <w:rPr>
          <w:rFonts w:asciiTheme="minorHAnsi" w:hAnsiTheme="minorHAnsi" w:cstheme="minorHAnsi"/>
          <w:sz w:val="22"/>
          <w:szCs w:val="22"/>
        </w:rPr>
        <w:t xml:space="preserve"> according to another goal set by the referring provider</w:t>
      </w:r>
      <w:r w:rsidRPr="00831E3D">
        <w:rPr>
          <w:rFonts w:asciiTheme="minorHAnsi" w:hAnsiTheme="minorHAnsi" w:cstheme="minorHAnsi"/>
          <w:sz w:val="22"/>
          <w:szCs w:val="22"/>
        </w:rPr>
        <w:t xml:space="preserve">, the pharmacist may initiate, adjust, or discontinue </w:t>
      </w:r>
      <w:r w:rsidR="00D67BA7">
        <w:rPr>
          <w:rFonts w:asciiTheme="minorHAnsi" w:hAnsiTheme="minorHAnsi" w:cstheme="minorHAnsi"/>
          <w:sz w:val="22"/>
          <w:szCs w:val="22"/>
        </w:rPr>
        <w:t>antihypertensive</w:t>
      </w:r>
      <w:r w:rsidRPr="00831E3D">
        <w:rPr>
          <w:rFonts w:asciiTheme="minorHAnsi" w:hAnsiTheme="minorHAnsi" w:cstheme="minorHAnsi"/>
          <w:sz w:val="22"/>
          <w:szCs w:val="22"/>
        </w:rPr>
        <w:t xml:space="preserve"> medications (</w:t>
      </w:r>
      <w:r w:rsidR="008C7076">
        <w:rPr>
          <w:rFonts w:asciiTheme="minorHAnsi" w:hAnsiTheme="minorHAnsi" w:cstheme="minorHAnsi"/>
          <w:sz w:val="22"/>
          <w:szCs w:val="22"/>
        </w:rPr>
        <w:t>Appendix A</w:t>
      </w:r>
      <w:r w:rsidRPr="00831E3D">
        <w:rPr>
          <w:rFonts w:asciiTheme="minorHAnsi" w:hAnsiTheme="minorHAnsi" w:cstheme="minorHAnsi"/>
          <w:sz w:val="22"/>
          <w:szCs w:val="22"/>
        </w:rPr>
        <w:t xml:space="preserve">) based on </w:t>
      </w:r>
      <w:r w:rsidRPr="00FD2993">
        <w:rPr>
          <w:rFonts w:asciiTheme="minorHAnsi" w:hAnsiTheme="minorHAnsi" w:cstheme="minorHAnsi"/>
          <w:sz w:val="22"/>
          <w:szCs w:val="22"/>
        </w:rPr>
        <w:t>patient</w:t>
      </w:r>
      <w:r w:rsidR="008C7076" w:rsidRPr="00FD2993">
        <w:rPr>
          <w:rFonts w:asciiTheme="minorHAnsi" w:hAnsiTheme="minorHAnsi" w:cstheme="minorHAnsi"/>
          <w:sz w:val="22"/>
          <w:szCs w:val="22"/>
        </w:rPr>
        <w:t xml:space="preserve"> </w:t>
      </w:r>
      <w:r w:rsidR="00D67BA7" w:rsidRPr="00FD2993">
        <w:rPr>
          <w:rFonts w:asciiTheme="minorHAnsi" w:hAnsiTheme="minorHAnsi" w:cstheme="minorHAnsi"/>
          <w:sz w:val="22"/>
          <w:szCs w:val="22"/>
        </w:rPr>
        <w:t>assessment</w:t>
      </w:r>
      <w:r w:rsidR="00B03455" w:rsidRPr="00FD2993">
        <w:rPr>
          <w:rFonts w:asciiTheme="minorHAnsi" w:hAnsiTheme="minorHAnsi" w:cstheme="minorHAnsi"/>
          <w:sz w:val="22"/>
          <w:szCs w:val="22"/>
        </w:rPr>
        <w:t>.</w:t>
      </w:r>
      <w:r w:rsidR="00B03455">
        <w:rPr>
          <w:rFonts w:asciiTheme="minorHAnsi" w:hAnsiTheme="minorHAnsi" w:cstheme="minorHAnsi"/>
          <w:sz w:val="22"/>
          <w:szCs w:val="22"/>
        </w:rPr>
        <w:t xml:space="preserve"> </w:t>
      </w:r>
      <w:r w:rsidRPr="00831E3D">
        <w:rPr>
          <w:rFonts w:asciiTheme="minorHAnsi" w:hAnsiTheme="minorHAnsi" w:cstheme="minorHAnsi"/>
          <w:sz w:val="22"/>
          <w:szCs w:val="22"/>
        </w:rPr>
        <w:t xml:space="preserve">Medications may be ordered with </w:t>
      </w:r>
      <w:r w:rsidR="00563F76">
        <w:rPr>
          <w:rFonts w:asciiTheme="minorHAnsi" w:hAnsiTheme="minorHAnsi" w:cstheme="minorHAnsi"/>
          <w:sz w:val="22"/>
          <w:szCs w:val="22"/>
        </w:rPr>
        <w:t xml:space="preserve">up to </w:t>
      </w:r>
      <w:r w:rsidRPr="00831E3D">
        <w:rPr>
          <w:rFonts w:asciiTheme="minorHAnsi" w:hAnsiTheme="minorHAnsi" w:cstheme="minorHAnsi"/>
          <w:sz w:val="22"/>
          <w:szCs w:val="22"/>
        </w:rPr>
        <w:t>one year of refills to allow for flexibility with a patient’s prescription benefits.</w:t>
      </w:r>
      <w:r w:rsidR="008C7076">
        <w:rPr>
          <w:rFonts w:asciiTheme="minorHAnsi" w:hAnsiTheme="minorHAnsi" w:cstheme="minorHAnsi"/>
          <w:sz w:val="22"/>
          <w:szCs w:val="22"/>
        </w:rPr>
        <w:t xml:space="preserve"> </w:t>
      </w:r>
      <w:r w:rsidRPr="00831E3D">
        <w:rPr>
          <w:rFonts w:asciiTheme="minorHAnsi" w:hAnsiTheme="minorHAnsi" w:cstheme="minorHAnsi"/>
          <w:sz w:val="22"/>
          <w:szCs w:val="22"/>
        </w:rPr>
        <w:t xml:space="preserve">Pharmacists may </w:t>
      </w:r>
      <w:r w:rsidR="00D67BA7">
        <w:rPr>
          <w:rFonts w:asciiTheme="minorHAnsi" w:hAnsiTheme="minorHAnsi" w:cstheme="minorHAnsi"/>
          <w:sz w:val="22"/>
          <w:szCs w:val="22"/>
        </w:rPr>
        <w:t xml:space="preserve">also </w:t>
      </w:r>
      <w:r w:rsidRPr="00831E3D">
        <w:rPr>
          <w:rFonts w:asciiTheme="minorHAnsi" w:hAnsiTheme="minorHAnsi" w:cstheme="minorHAnsi"/>
          <w:sz w:val="22"/>
          <w:szCs w:val="22"/>
        </w:rPr>
        <w:t xml:space="preserve">prescribe </w:t>
      </w:r>
      <w:r w:rsidR="00D67BA7">
        <w:rPr>
          <w:rFonts w:asciiTheme="minorHAnsi" w:hAnsiTheme="minorHAnsi" w:cstheme="minorHAnsi"/>
          <w:sz w:val="22"/>
          <w:szCs w:val="22"/>
        </w:rPr>
        <w:t xml:space="preserve">home blood pressure monitors </w:t>
      </w:r>
      <w:r w:rsidRPr="00831E3D">
        <w:rPr>
          <w:rFonts w:asciiTheme="minorHAnsi" w:hAnsiTheme="minorHAnsi" w:cstheme="minorHAnsi"/>
          <w:sz w:val="22"/>
          <w:szCs w:val="22"/>
        </w:rPr>
        <w:t xml:space="preserve">as appropriate. </w:t>
      </w:r>
      <w:r w:rsidR="00DB7D48">
        <w:rPr>
          <w:rFonts w:asciiTheme="minorHAnsi" w:hAnsiTheme="minorHAnsi" w:cstheme="minorHAnsi"/>
          <w:sz w:val="22"/>
          <w:szCs w:val="22"/>
        </w:rPr>
        <w:t xml:space="preserve">Pharmacists may order any appropriate laboratory monitoring for medications based on recommendations in the package inserts. </w:t>
      </w:r>
    </w:p>
    <w:p w14:paraId="420CB8F6" w14:textId="1F192684" w:rsidR="00A65B27" w:rsidRDefault="00D67BA7" w:rsidP="005228E1">
      <w:pPr>
        <w:pStyle w:val="Default"/>
        <w:rPr>
          <w:rFonts w:asciiTheme="minorHAnsi" w:hAnsiTheme="minorHAnsi" w:cstheme="minorHAnsi"/>
          <w:sz w:val="22"/>
          <w:szCs w:val="22"/>
        </w:rPr>
      </w:pPr>
      <w:r>
        <w:rPr>
          <w:rFonts w:asciiTheme="minorHAnsi" w:hAnsiTheme="minorHAnsi" w:cstheme="minorHAnsi"/>
          <w:sz w:val="22"/>
          <w:szCs w:val="22"/>
        </w:rPr>
        <w:t xml:space="preserve">Antihypertensive </w:t>
      </w:r>
      <w:r w:rsidR="00814758" w:rsidRPr="00831E3D">
        <w:rPr>
          <w:rFonts w:asciiTheme="minorHAnsi" w:hAnsiTheme="minorHAnsi" w:cstheme="minorHAnsi"/>
          <w:sz w:val="22"/>
          <w:szCs w:val="22"/>
        </w:rPr>
        <w:t>medications at subsequent visits should be initiated, adjusted within the</w:t>
      </w:r>
      <w:r w:rsidR="00624E97">
        <w:rPr>
          <w:rFonts w:asciiTheme="minorHAnsi" w:hAnsiTheme="minorHAnsi" w:cstheme="minorHAnsi"/>
          <w:sz w:val="22"/>
          <w:szCs w:val="22"/>
        </w:rPr>
        <w:t xml:space="preserve"> standard</w:t>
      </w:r>
      <w:r w:rsidR="00814758" w:rsidRPr="00831E3D">
        <w:rPr>
          <w:rFonts w:asciiTheme="minorHAnsi" w:hAnsiTheme="minorHAnsi" w:cstheme="minorHAnsi"/>
          <w:sz w:val="22"/>
          <w:szCs w:val="22"/>
        </w:rPr>
        <w:t xml:space="preserve"> dosage range, or discontinued to reach </w:t>
      </w:r>
      <w:r>
        <w:rPr>
          <w:rFonts w:asciiTheme="minorHAnsi" w:hAnsiTheme="minorHAnsi" w:cstheme="minorHAnsi"/>
          <w:sz w:val="22"/>
          <w:szCs w:val="22"/>
        </w:rPr>
        <w:t xml:space="preserve">blood pressure </w:t>
      </w:r>
      <w:r w:rsidR="00814758" w:rsidRPr="00831E3D">
        <w:rPr>
          <w:rFonts w:asciiTheme="minorHAnsi" w:hAnsiTheme="minorHAnsi" w:cstheme="minorHAnsi"/>
          <w:sz w:val="22"/>
          <w:szCs w:val="22"/>
        </w:rPr>
        <w:t>goals</w:t>
      </w:r>
      <w:r w:rsidR="00033179">
        <w:rPr>
          <w:rFonts w:asciiTheme="minorHAnsi" w:hAnsiTheme="minorHAnsi" w:cstheme="minorHAnsi"/>
          <w:sz w:val="22"/>
          <w:szCs w:val="22"/>
        </w:rPr>
        <w:t>.</w:t>
      </w:r>
    </w:p>
    <w:p w14:paraId="1DF312E5" w14:textId="77777777" w:rsidR="00B03455" w:rsidRDefault="00B03455" w:rsidP="005228E1">
      <w:pPr>
        <w:pStyle w:val="Default"/>
        <w:rPr>
          <w:rFonts w:asciiTheme="minorHAnsi" w:hAnsiTheme="minorHAnsi" w:cstheme="minorHAnsi"/>
          <w:sz w:val="22"/>
          <w:szCs w:val="22"/>
        </w:rPr>
      </w:pPr>
    </w:p>
    <w:p w14:paraId="532BFA4E" w14:textId="63294205" w:rsidR="00F47ECC" w:rsidRPr="0060495A" w:rsidRDefault="00A65B27" w:rsidP="005228E1">
      <w:pPr>
        <w:pStyle w:val="Default"/>
        <w:rPr>
          <w:rFonts w:asciiTheme="minorHAnsi" w:hAnsiTheme="minorHAnsi" w:cstheme="minorHAnsi"/>
          <w:i/>
          <w:iCs/>
          <w:sz w:val="22"/>
          <w:szCs w:val="22"/>
        </w:rPr>
      </w:pPr>
      <w:r w:rsidRPr="0060495A">
        <w:rPr>
          <w:rFonts w:asciiTheme="minorHAnsi" w:hAnsiTheme="minorHAnsi" w:cstheme="minorHAnsi"/>
          <w:i/>
          <w:iCs/>
          <w:sz w:val="22"/>
          <w:szCs w:val="22"/>
        </w:rPr>
        <w:t>E</w:t>
      </w:r>
      <w:r w:rsidR="00F47ECC" w:rsidRPr="0060495A">
        <w:rPr>
          <w:rFonts w:asciiTheme="minorHAnsi" w:hAnsiTheme="minorHAnsi" w:cstheme="minorHAnsi"/>
          <w:i/>
          <w:iCs/>
          <w:sz w:val="22"/>
          <w:szCs w:val="22"/>
        </w:rPr>
        <w:t>xample</w:t>
      </w:r>
      <w:r w:rsidRPr="0060495A">
        <w:rPr>
          <w:rFonts w:asciiTheme="minorHAnsi" w:hAnsiTheme="minorHAnsi" w:cstheme="minorHAnsi"/>
          <w:i/>
          <w:iCs/>
          <w:sz w:val="22"/>
          <w:szCs w:val="22"/>
        </w:rPr>
        <w:t>s</w:t>
      </w:r>
      <w:r w:rsidR="00F47ECC" w:rsidRPr="0060495A">
        <w:rPr>
          <w:rFonts w:asciiTheme="minorHAnsi" w:hAnsiTheme="minorHAnsi" w:cstheme="minorHAnsi"/>
          <w:i/>
          <w:iCs/>
          <w:sz w:val="22"/>
          <w:szCs w:val="22"/>
        </w:rPr>
        <w:t xml:space="preserve"> of </w:t>
      </w:r>
      <w:r w:rsidRPr="0060495A">
        <w:rPr>
          <w:rFonts w:asciiTheme="minorHAnsi" w:hAnsiTheme="minorHAnsi" w:cstheme="minorHAnsi"/>
          <w:i/>
          <w:iCs/>
          <w:sz w:val="22"/>
          <w:szCs w:val="22"/>
        </w:rPr>
        <w:t xml:space="preserve">recommended treatment algorithms are included at the end of this publication. </w:t>
      </w:r>
    </w:p>
    <w:p w14:paraId="0E70BAEB" w14:textId="77777777" w:rsidR="00F6119B" w:rsidRPr="00831E3D" w:rsidRDefault="00F6119B" w:rsidP="005228E1">
      <w:pPr>
        <w:pStyle w:val="Default"/>
        <w:rPr>
          <w:rFonts w:asciiTheme="minorHAnsi" w:hAnsiTheme="minorHAnsi" w:cstheme="minorHAnsi"/>
          <w:sz w:val="22"/>
          <w:szCs w:val="22"/>
        </w:rPr>
      </w:pPr>
    </w:p>
    <w:p w14:paraId="3BC8ECC0" w14:textId="77777777" w:rsidR="00F6119B" w:rsidRDefault="00F6119B" w:rsidP="005228E1">
      <w:pPr>
        <w:spacing w:after="0"/>
        <w:rPr>
          <w:rFonts w:asciiTheme="minorHAnsi" w:hAnsiTheme="minorHAnsi" w:cstheme="minorHAnsi"/>
          <w:i/>
          <w:iCs/>
          <w:color w:val="000000"/>
          <w:sz w:val="22"/>
          <w:szCs w:val="22"/>
        </w:rPr>
      </w:pPr>
      <w:r w:rsidRPr="001B0CAF">
        <w:rPr>
          <w:rFonts w:asciiTheme="minorHAnsi" w:hAnsiTheme="minorHAnsi" w:cstheme="minorHAnsi"/>
          <w:i/>
          <w:iCs/>
          <w:color w:val="000000"/>
          <w:sz w:val="22"/>
          <w:szCs w:val="22"/>
        </w:rPr>
        <w:lastRenderedPageBreak/>
        <w:t>Management of Hypertensive Crises:</w:t>
      </w:r>
    </w:p>
    <w:p w14:paraId="262F5C6A" w14:textId="77777777" w:rsidR="00F6119B" w:rsidRDefault="00F6119B" w:rsidP="005228E1">
      <w:pPr>
        <w:pStyle w:val="ListParagraph"/>
        <w:tabs>
          <w:tab w:val="left" w:pos="720"/>
        </w:tabs>
        <w:adjustRightInd w:val="0"/>
        <w:ind w:left="0"/>
        <w:rPr>
          <w:rFonts w:ascii="Calibri" w:hAnsi="Calibri"/>
        </w:rPr>
      </w:pPr>
      <w:r>
        <w:rPr>
          <w:rFonts w:ascii="Calibri" w:hAnsi="Calibri"/>
        </w:rPr>
        <w:tab/>
        <w:t xml:space="preserve">Hypertensive crises are defined as severe elevations in BP (&gt;180/120 mmHg). </w:t>
      </w:r>
    </w:p>
    <w:p w14:paraId="01F9201C" w14:textId="77777777" w:rsidR="00F6119B" w:rsidRDefault="00F6119B" w:rsidP="005228E1">
      <w:pPr>
        <w:pStyle w:val="ListParagraph"/>
        <w:numPr>
          <w:ilvl w:val="0"/>
          <w:numId w:val="19"/>
        </w:numPr>
        <w:tabs>
          <w:tab w:val="left" w:pos="720"/>
        </w:tabs>
        <w:adjustRightInd w:val="0"/>
        <w:contextualSpacing/>
        <w:rPr>
          <w:rFonts w:ascii="Calibri" w:hAnsi="Calibri"/>
        </w:rPr>
      </w:pPr>
      <w:r>
        <w:rPr>
          <w:rFonts w:ascii="Calibri" w:hAnsi="Calibri"/>
        </w:rPr>
        <w:t xml:space="preserve">Hypertensive emergencies involve severe elevations in BP associated with evidence of new or worsening target organ damage. Examples of target organ damage include: hypertensive encephalopathy, intracranial hemorrhage, acute ischemic stroke, acute myocardial infarction, acute left ventricular failure with pulmonary edema, unstable angina, dissecting aortic aneurism, acute renal failure, and eclampsia.  </w:t>
      </w:r>
    </w:p>
    <w:p w14:paraId="4D517E3B" w14:textId="77777777" w:rsidR="00F6119B" w:rsidRDefault="00F6119B" w:rsidP="005228E1">
      <w:pPr>
        <w:pStyle w:val="ListParagraph"/>
        <w:numPr>
          <w:ilvl w:val="0"/>
          <w:numId w:val="19"/>
        </w:numPr>
        <w:tabs>
          <w:tab w:val="left" w:pos="720"/>
        </w:tabs>
        <w:adjustRightInd w:val="0"/>
        <w:contextualSpacing/>
        <w:rPr>
          <w:rFonts w:ascii="Calibri" w:hAnsi="Calibri"/>
        </w:rPr>
      </w:pPr>
      <w:r>
        <w:rPr>
          <w:rFonts w:ascii="Calibri" w:hAnsi="Calibri"/>
        </w:rPr>
        <w:t xml:space="preserve">Hypertensive urgencies are situations associated with severe BP elevation in otherwise stable patients without acute or impending change in target organ damage or dysfunction. </w:t>
      </w:r>
    </w:p>
    <w:p w14:paraId="4A646FC8" w14:textId="77777777" w:rsidR="00F6119B" w:rsidRDefault="00F6119B" w:rsidP="005228E1">
      <w:pPr>
        <w:pStyle w:val="ListParagraph"/>
        <w:tabs>
          <w:tab w:val="left" w:pos="720"/>
        </w:tabs>
        <w:adjustRightInd w:val="0"/>
        <w:ind w:left="0"/>
        <w:rPr>
          <w:rFonts w:ascii="Calibri" w:hAnsi="Calibri"/>
        </w:rPr>
      </w:pPr>
    </w:p>
    <w:p w14:paraId="0A212E0A" w14:textId="2B227C78" w:rsidR="00F6119B" w:rsidRPr="00A02558" w:rsidRDefault="00F6119B" w:rsidP="005228E1">
      <w:pPr>
        <w:pStyle w:val="ListParagraph"/>
        <w:tabs>
          <w:tab w:val="left" w:pos="720"/>
        </w:tabs>
        <w:adjustRightInd w:val="0"/>
        <w:ind w:left="0"/>
        <w:rPr>
          <w:rFonts w:ascii="Calibri" w:hAnsi="Calibri"/>
          <w:b/>
        </w:rPr>
      </w:pPr>
      <w:r>
        <w:rPr>
          <w:rFonts w:ascii="Calibri" w:hAnsi="Calibri"/>
        </w:rPr>
        <w:tab/>
        <w:t>P</w:t>
      </w:r>
      <w:r w:rsidRPr="00A70DEC">
        <w:rPr>
          <w:rFonts w:ascii="Calibri" w:hAnsi="Calibri"/>
        </w:rPr>
        <w:t>atient</w:t>
      </w:r>
      <w:r>
        <w:rPr>
          <w:rFonts w:ascii="Calibri" w:hAnsi="Calibri"/>
        </w:rPr>
        <w:t>s who</w:t>
      </w:r>
      <w:r w:rsidRPr="00A70DEC">
        <w:rPr>
          <w:rFonts w:ascii="Calibri" w:hAnsi="Calibri"/>
        </w:rPr>
        <w:t xml:space="preserve"> present with hypertensive cris</w:t>
      </w:r>
      <w:r>
        <w:rPr>
          <w:rFonts w:ascii="Calibri" w:hAnsi="Calibri"/>
        </w:rPr>
        <w:t>es will be referred to emergency care</w:t>
      </w:r>
      <w:r w:rsidRPr="00A70DEC">
        <w:rPr>
          <w:rFonts w:ascii="Calibri" w:hAnsi="Calibri"/>
        </w:rPr>
        <w:t xml:space="preserve"> for further evaluation</w:t>
      </w:r>
      <w:r>
        <w:rPr>
          <w:rFonts w:ascii="Calibri" w:hAnsi="Calibri"/>
        </w:rPr>
        <w:t xml:space="preserve"> and management</w:t>
      </w:r>
      <w:r w:rsidRPr="00A70DEC">
        <w:rPr>
          <w:rFonts w:ascii="Calibri" w:hAnsi="Calibri"/>
        </w:rPr>
        <w:t>.</w:t>
      </w:r>
      <w:r w:rsidRPr="00A70DEC" w:rsidDel="009E0E57">
        <w:rPr>
          <w:rFonts w:ascii="Calibri" w:hAnsi="Calibri"/>
        </w:rPr>
        <w:t xml:space="preserve"> </w:t>
      </w:r>
    </w:p>
    <w:p w14:paraId="35EFFC11" w14:textId="77777777" w:rsidR="00F6119B" w:rsidRPr="00F6119B" w:rsidRDefault="00F6119B" w:rsidP="005228E1">
      <w:pPr>
        <w:spacing w:after="0"/>
        <w:rPr>
          <w:rFonts w:asciiTheme="minorHAnsi" w:hAnsiTheme="minorHAnsi" w:cstheme="minorHAnsi"/>
          <w:color w:val="000000"/>
          <w:sz w:val="22"/>
          <w:szCs w:val="22"/>
        </w:rPr>
      </w:pPr>
    </w:p>
    <w:p w14:paraId="52A5E820" w14:textId="77777777" w:rsidR="00F6119B" w:rsidRDefault="00F6119B" w:rsidP="005228E1">
      <w:pPr>
        <w:spacing w:after="0"/>
        <w:rPr>
          <w:rFonts w:asciiTheme="minorHAnsi" w:hAnsiTheme="minorHAnsi" w:cstheme="minorHAnsi"/>
          <w:i/>
          <w:iCs/>
          <w:color w:val="000000"/>
          <w:sz w:val="22"/>
          <w:szCs w:val="22"/>
        </w:rPr>
      </w:pPr>
      <w:r>
        <w:rPr>
          <w:rFonts w:asciiTheme="minorHAnsi" w:hAnsiTheme="minorHAnsi" w:cstheme="minorHAnsi"/>
          <w:i/>
          <w:iCs/>
          <w:color w:val="000000"/>
          <w:sz w:val="22"/>
          <w:szCs w:val="22"/>
        </w:rPr>
        <w:t>Management of Hypotension:</w:t>
      </w:r>
    </w:p>
    <w:p w14:paraId="41C6E632" w14:textId="5E629764" w:rsidR="00F6119B" w:rsidRPr="00482C08" w:rsidRDefault="00F6119B" w:rsidP="005228E1">
      <w:pPr>
        <w:rPr>
          <w:rFonts w:ascii="Calibri" w:hAnsi="Calibri" w:cs="Calibri"/>
          <w:sz w:val="22"/>
          <w:szCs w:val="22"/>
        </w:rPr>
      </w:pPr>
      <w:r w:rsidRPr="00482C08">
        <w:rPr>
          <w:rFonts w:ascii="Calibri" w:hAnsi="Calibri" w:cs="Calibri"/>
          <w:sz w:val="22"/>
          <w:szCs w:val="22"/>
        </w:rPr>
        <w:t xml:space="preserve">If sitting </w:t>
      </w:r>
      <w:r>
        <w:rPr>
          <w:rFonts w:ascii="Calibri" w:hAnsi="Calibri" w:cs="Calibri"/>
          <w:sz w:val="22"/>
          <w:szCs w:val="22"/>
        </w:rPr>
        <w:t>BP</w:t>
      </w:r>
      <w:r w:rsidRPr="00482C08">
        <w:rPr>
          <w:rFonts w:ascii="Calibri" w:hAnsi="Calibri" w:cs="Calibri"/>
          <w:sz w:val="22"/>
          <w:szCs w:val="22"/>
        </w:rPr>
        <w:t xml:space="preserve"> &lt;100/60 mmHg in any patient OR if standing BP &lt;110/60 mmHg in patients ≥65 years, the patient should be assessed for symptoms of hypotension (i.e. dizziness, light-headed</w:t>
      </w:r>
      <w:r>
        <w:rPr>
          <w:rFonts w:ascii="Calibri" w:hAnsi="Calibri" w:cs="Calibri"/>
          <w:sz w:val="22"/>
          <w:szCs w:val="22"/>
        </w:rPr>
        <w:t>ness</w:t>
      </w:r>
      <w:r w:rsidRPr="00482C08">
        <w:rPr>
          <w:rFonts w:ascii="Calibri" w:hAnsi="Calibri" w:cs="Calibri"/>
          <w:sz w:val="22"/>
          <w:szCs w:val="22"/>
        </w:rPr>
        <w:t xml:space="preserve">, fatigue). If symptomatic, the </w:t>
      </w:r>
      <w:r>
        <w:rPr>
          <w:rFonts w:ascii="Calibri" w:hAnsi="Calibri" w:cs="Calibri"/>
          <w:sz w:val="22"/>
          <w:szCs w:val="22"/>
        </w:rPr>
        <w:t>patient may be referred for urgent or emergent care for further evaluation and management</w:t>
      </w:r>
      <w:r w:rsidRPr="00482C08">
        <w:rPr>
          <w:rFonts w:ascii="Calibri" w:hAnsi="Calibri" w:cs="Calibri"/>
          <w:sz w:val="22"/>
          <w:szCs w:val="22"/>
        </w:rPr>
        <w:t xml:space="preserve">. </w:t>
      </w:r>
      <w:r>
        <w:rPr>
          <w:rFonts w:ascii="Calibri" w:hAnsi="Calibri" w:cs="Calibri"/>
          <w:sz w:val="22"/>
          <w:szCs w:val="22"/>
        </w:rPr>
        <w:t>A</w:t>
      </w:r>
      <w:r w:rsidRPr="00482C08">
        <w:rPr>
          <w:rFonts w:ascii="Calibri" w:hAnsi="Calibri" w:cs="Calibri"/>
          <w:sz w:val="22"/>
          <w:szCs w:val="22"/>
        </w:rPr>
        <w:t xml:space="preserve">ntihypertensive medications </w:t>
      </w:r>
      <w:r>
        <w:rPr>
          <w:rFonts w:ascii="Calibri" w:hAnsi="Calibri" w:cs="Calibri"/>
          <w:sz w:val="22"/>
          <w:szCs w:val="22"/>
        </w:rPr>
        <w:t>may also</w:t>
      </w:r>
      <w:r w:rsidRPr="00482C08">
        <w:rPr>
          <w:rFonts w:ascii="Calibri" w:hAnsi="Calibri" w:cs="Calibri"/>
          <w:sz w:val="22"/>
          <w:szCs w:val="22"/>
        </w:rPr>
        <w:t xml:space="preserve"> be tapered down or discontinued as appropriate.</w:t>
      </w:r>
    </w:p>
    <w:p w14:paraId="1DEDC511" w14:textId="42434550" w:rsidR="00814758" w:rsidRPr="00831E3D" w:rsidRDefault="00814758" w:rsidP="005228E1">
      <w:pPr>
        <w:widowControl w:val="0"/>
        <w:autoSpaceDE w:val="0"/>
        <w:autoSpaceDN w:val="0"/>
        <w:adjustRightInd w:val="0"/>
        <w:spacing w:after="0"/>
        <w:rPr>
          <w:rFonts w:asciiTheme="minorHAnsi" w:hAnsiTheme="minorHAnsi" w:cstheme="minorHAnsi"/>
          <w:sz w:val="22"/>
          <w:szCs w:val="22"/>
        </w:rPr>
      </w:pPr>
    </w:p>
    <w:p w14:paraId="45ADCEA1" w14:textId="77777777" w:rsidR="00814758" w:rsidRPr="008C7076" w:rsidRDefault="00814758" w:rsidP="005228E1">
      <w:pPr>
        <w:widowControl w:val="0"/>
        <w:autoSpaceDE w:val="0"/>
        <w:autoSpaceDN w:val="0"/>
        <w:adjustRightInd w:val="0"/>
        <w:spacing w:after="0"/>
        <w:rPr>
          <w:rFonts w:asciiTheme="minorHAnsi" w:hAnsiTheme="minorHAnsi" w:cstheme="minorHAnsi"/>
          <w:bCs/>
          <w:i/>
          <w:iCs/>
          <w:sz w:val="22"/>
          <w:szCs w:val="22"/>
        </w:rPr>
      </w:pPr>
      <w:r w:rsidRPr="008C7076">
        <w:rPr>
          <w:rFonts w:asciiTheme="minorHAnsi" w:hAnsiTheme="minorHAnsi" w:cstheme="minorHAnsi"/>
          <w:bCs/>
          <w:i/>
          <w:iCs/>
          <w:sz w:val="22"/>
          <w:szCs w:val="22"/>
        </w:rPr>
        <w:t>Follow Up &amp; Laboratory Monitoring</w:t>
      </w:r>
    </w:p>
    <w:p w14:paraId="37DCCBD5" w14:textId="64ABF7A1" w:rsidR="00814758" w:rsidRPr="00831E3D" w:rsidRDefault="00814758" w:rsidP="005228E1">
      <w:pPr>
        <w:rPr>
          <w:rFonts w:asciiTheme="minorHAnsi" w:hAnsiTheme="minorHAnsi" w:cstheme="minorHAnsi"/>
          <w:sz w:val="22"/>
          <w:szCs w:val="22"/>
        </w:rPr>
      </w:pPr>
      <w:r w:rsidRPr="00831E3D">
        <w:rPr>
          <w:rFonts w:asciiTheme="minorHAnsi" w:hAnsiTheme="minorHAnsi" w:cstheme="minorHAnsi"/>
          <w:sz w:val="22"/>
          <w:szCs w:val="22"/>
        </w:rPr>
        <w:t>Patient</w:t>
      </w:r>
      <w:r w:rsidR="00B03455">
        <w:rPr>
          <w:rFonts w:asciiTheme="minorHAnsi" w:hAnsiTheme="minorHAnsi" w:cstheme="minorHAnsi"/>
          <w:sz w:val="22"/>
          <w:szCs w:val="22"/>
        </w:rPr>
        <w:t>s</w:t>
      </w:r>
      <w:r w:rsidRPr="00831E3D">
        <w:rPr>
          <w:rFonts w:asciiTheme="minorHAnsi" w:hAnsiTheme="minorHAnsi" w:cstheme="minorHAnsi"/>
          <w:sz w:val="22"/>
          <w:szCs w:val="22"/>
        </w:rPr>
        <w:t xml:space="preserve"> should follow up as recommended by the pharmacist</w:t>
      </w:r>
      <w:r w:rsidR="00563F76">
        <w:rPr>
          <w:rFonts w:asciiTheme="minorHAnsi" w:hAnsiTheme="minorHAnsi" w:cstheme="minorHAnsi"/>
          <w:sz w:val="22"/>
          <w:szCs w:val="22"/>
        </w:rPr>
        <w:t xml:space="preserve"> and based on guidelines</w:t>
      </w:r>
      <w:r w:rsidRPr="00831E3D">
        <w:rPr>
          <w:rFonts w:asciiTheme="minorHAnsi" w:hAnsiTheme="minorHAnsi" w:cstheme="minorHAnsi"/>
          <w:sz w:val="22"/>
          <w:szCs w:val="22"/>
        </w:rPr>
        <w:t>. Medication adjustments may occur after evaluating and documenting</w:t>
      </w:r>
      <w:r w:rsidR="00563F76">
        <w:rPr>
          <w:rFonts w:asciiTheme="minorHAnsi" w:hAnsiTheme="minorHAnsi" w:cstheme="minorHAnsi"/>
          <w:sz w:val="22"/>
          <w:szCs w:val="22"/>
        </w:rPr>
        <w:t xml:space="preserve"> lab tests,</w:t>
      </w:r>
      <w:r w:rsidRPr="00831E3D">
        <w:rPr>
          <w:rFonts w:asciiTheme="minorHAnsi" w:hAnsiTheme="minorHAnsi" w:cstheme="minorHAnsi"/>
          <w:sz w:val="22"/>
          <w:szCs w:val="22"/>
        </w:rPr>
        <w:t xml:space="preserve"> </w:t>
      </w:r>
      <w:r w:rsidR="00D67BA7">
        <w:rPr>
          <w:rFonts w:asciiTheme="minorHAnsi" w:hAnsiTheme="minorHAnsi" w:cstheme="minorHAnsi"/>
          <w:sz w:val="22"/>
          <w:szCs w:val="22"/>
        </w:rPr>
        <w:t xml:space="preserve">measuring blood pressure and heart rate, </w:t>
      </w:r>
      <w:r w:rsidR="00400866" w:rsidRPr="00831E3D">
        <w:rPr>
          <w:rFonts w:asciiTheme="minorHAnsi" w:hAnsiTheme="minorHAnsi" w:cstheme="minorHAnsi"/>
          <w:sz w:val="22"/>
          <w:szCs w:val="22"/>
        </w:rPr>
        <w:t>and</w:t>
      </w:r>
      <w:r w:rsidRPr="00831E3D">
        <w:rPr>
          <w:rFonts w:asciiTheme="minorHAnsi" w:hAnsiTheme="minorHAnsi" w:cstheme="minorHAnsi"/>
          <w:sz w:val="22"/>
          <w:szCs w:val="22"/>
        </w:rPr>
        <w:t xml:space="preserve"> evaluating for adverse effects. </w:t>
      </w:r>
    </w:p>
    <w:p w14:paraId="3030B15A" w14:textId="18C0AD84" w:rsidR="00814758" w:rsidRDefault="00400866" w:rsidP="005228E1">
      <w:pPr>
        <w:rPr>
          <w:rFonts w:asciiTheme="minorHAnsi" w:hAnsiTheme="minorHAnsi" w:cstheme="minorHAnsi"/>
          <w:sz w:val="22"/>
          <w:szCs w:val="22"/>
        </w:rPr>
      </w:pPr>
      <w:r w:rsidRPr="00831E3D">
        <w:rPr>
          <w:rFonts w:asciiTheme="minorHAnsi" w:hAnsiTheme="minorHAnsi" w:cstheme="minorHAnsi"/>
          <w:sz w:val="22"/>
          <w:szCs w:val="22"/>
        </w:rPr>
        <w:t xml:space="preserve">Pharmacists may order all laboratory tests and perform physical assessments as outlined in this protocol. If results are </w:t>
      </w:r>
      <w:r w:rsidR="00632D73">
        <w:rPr>
          <w:rFonts w:asciiTheme="minorHAnsi" w:hAnsiTheme="minorHAnsi" w:cstheme="minorHAnsi"/>
          <w:sz w:val="22"/>
          <w:szCs w:val="22"/>
        </w:rPr>
        <w:t xml:space="preserve">within </w:t>
      </w:r>
      <w:r w:rsidRPr="00831E3D">
        <w:rPr>
          <w:rFonts w:asciiTheme="minorHAnsi" w:hAnsiTheme="minorHAnsi" w:cstheme="minorHAnsi"/>
          <w:sz w:val="22"/>
          <w:szCs w:val="22"/>
        </w:rPr>
        <w:t>normal</w:t>
      </w:r>
      <w:r w:rsidR="00632D73">
        <w:rPr>
          <w:rFonts w:asciiTheme="minorHAnsi" w:hAnsiTheme="minorHAnsi" w:cstheme="minorHAnsi"/>
          <w:sz w:val="22"/>
          <w:szCs w:val="22"/>
        </w:rPr>
        <w:t xml:space="preserve"> limits</w:t>
      </w:r>
      <w:r w:rsidRPr="00831E3D">
        <w:rPr>
          <w:rFonts w:asciiTheme="minorHAnsi" w:hAnsiTheme="minorHAnsi" w:cstheme="minorHAnsi"/>
          <w:sz w:val="22"/>
          <w:szCs w:val="22"/>
        </w:rPr>
        <w:t xml:space="preserve"> and</w:t>
      </w:r>
      <w:r w:rsidR="00632D73">
        <w:rPr>
          <w:rFonts w:asciiTheme="minorHAnsi" w:hAnsiTheme="minorHAnsi" w:cstheme="minorHAnsi"/>
          <w:sz w:val="22"/>
          <w:szCs w:val="22"/>
        </w:rPr>
        <w:t>/or</w:t>
      </w:r>
      <w:r w:rsidRPr="00831E3D">
        <w:rPr>
          <w:rFonts w:asciiTheme="minorHAnsi" w:hAnsiTheme="minorHAnsi" w:cstheme="minorHAnsi"/>
          <w:sz w:val="22"/>
          <w:szCs w:val="22"/>
        </w:rPr>
        <w:t xml:space="preserve"> stable, the pharmacist will document in their</w:t>
      </w:r>
      <w:r w:rsidR="005228E1">
        <w:rPr>
          <w:rFonts w:asciiTheme="minorHAnsi" w:hAnsiTheme="minorHAnsi" w:cstheme="minorHAnsi"/>
          <w:sz w:val="22"/>
          <w:szCs w:val="22"/>
        </w:rPr>
        <w:t xml:space="preserve"> </w:t>
      </w:r>
      <w:r w:rsidRPr="00831E3D">
        <w:rPr>
          <w:rFonts w:asciiTheme="minorHAnsi" w:hAnsiTheme="minorHAnsi" w:cstheme="minorHAnsi"/>
          <w:sz w:val="22"/>
          <w:szCs w:val="22"/>
        </w:rPr>
        <w:t xml:space="preserve">treatment note their plan. Abnormal, but not critical, laboratory and vital sign values will be expected and documented appropriately. If a laboratory value or vital sign is critical, as defined in this document, the </w:t>
      </w:r>
      <w:r w:rsidR="00632D73">
        <w:rPr>
          <w:rFonts w:asciiTheme="minorHAnsi" w:hAnsiTheme="minorHAnsi" w:cstheme="minorHAnsi"/>
          <w:sz w:val="22"/>
          <w:szCs w:val="22"/>
        </w:rPr>
        <w:t>pharmacist</w:t>
      </w:r>
      <w:r w:rsidRPr="00831E3D">
        <w:rPr>
          <w:rFonts w:asciiTheme="minorHAnsi" w:hAnsiTheme="minorHAnsi" w:cstheme="minorHAnsi"/>
          <w:sz w:val="22"/>
          <w:szCs w:val="22"/>
        </w:rPr>
        <w:t xml:space="preserve"> will make the appropriate decision to send patient to urgent care, emergency care, or follow-up with primary care provider within 2 weeks, </w:t>
      </w:r>
      <w:r w:rsidR="00563F76">
        <w:rPr>
          <w:rFonts w:asciiTheme="minorHAnsi" w:hAnsiTheme="minorHAnsi" w:cstheme="minorHAnsi"/>
          <w:sz w:val="22"/>
          <w:szCs w:val="22"/>
        </w:rPr>
        <w:t xml:space="preserve">or </w:t>
      </w:r>
      <w:r w:rsidRPr="00831E3D">
        <w:rPr>
          <w:rFonts w:asciiTheme="minorHAnsi" w:hAnsiTheme="minorHAnsi" w:cstheme="minorHAnsi"/>
          <w:sz w:val="22"/>
          <w:szCs w:val="22"/>
        </w:rPr>
        <w:t xml:space="preserve">as appropriate. </w:t>
      </w:r>
    </w:p>
    <w:p w14:paraId="0C6BE951" w14:textId="2831DE48" w:rsidR="00DD230C" w:rsidRPr="00DD230C" w:rsidRDefault="00DD230C" w:rsidP="00DD230C">
      <w:pPr>
        <w:spacing w:after="0"/>
        <w:rPr>
          <w:rFonts w:asciiTheme="minorHAnsi" w:hAnsiTheme="minorHAnsi" w:cstheme="minorHAnsi"/>
          <w:b/>
          <w:bCs/>
          <w:sz w:val="22"/>
          <w:szCs w:val="22"/>
        </w:rPr>
      </w:pPr>
      <w:r>
        <w:rPr>
          <w:rFonts w:asciiTheme="minorHAnsi" w:hAnsiTheme="minorHAnsi" w:cstheme="minorHAnsi"/>
          <w:b/>
          <w:bCs/>
          <w:sz w:val="22"/>
          <w:szCs w:val="22"/>
        </w:rPr>
        <w:t>Table 3: Assessments and Follow-Up</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520"/>
        <w:gridCol w:w="2652"/>
        <w:gridCol w:w="2658"/>
      </w:tblGrid>
      <w:tr w:rsidR="00A55EE7" w:rsidRPr="00331447" w14:paraId="6F5766E3" w14:textId="77777777" w:rsidTr="00DD230C">
        <w:trPr>
          <w:trHeight w:hRule="exact" w:val="20"/>
          <w:jc w:val="center"/>
        </w:trPr>
        <w:tc>
          <w:tcPr>
            <w:tcW w:w="1890" w:type="dxa"/>
            <w:tcBorders>
              <w:top w:val="nil"/>
              <w:left w:val="nil"/>
              <w:bottom w:val="nil"/>
              <w:right w:val="nil"/>
            </w:tcBorders>
            <w:shd w:val="clear" w:color="auto" w:fill="B4C6E7"/>
          </w:tcPr>
          <w:p w14:paraId="769E1045" w14:textId="77777777" w:rsidR="00A55EE7" w:rsidRDefault="00A55EE7" w:rsidP="005228E1">
            <w:pPr>
              <w:rPr>
                <w:sz w:val="2"/>
              </w:rPr>
            </w:pPr>
            <w:bookmarkStart w:id="2" w:name="_03b4a29f_21cb_4162_9a11_80a6255202ab"/>
          </w:p>
        </w:tc>
        <w:tc>
          <w:tcPr>
            <w:tcW w:w="2520" w:type="dxa"/>
            <w:tcBorders>
              <w:top w:val="nil"/>
              <w:left w:val="nil"/>
              <w:bottom w:val="nil"/>
              <w:right w:val="nil"/>
            </w:tcBorders>
            <w:shd w:val="clear" w:color="auto" w:fill="B4C6E7"/>
          </w:tcPr>
          <w:p w14:paraId="28E32339" w14:textId="77777777" w:rsidR="00A55EE7" w:rsidRDefault="00A55EE7" w:rsidP="005228E1">
            <w:pPr>
              <w:rPr>
                <w:sz w:val="2"/>
              </w:rPr>
            </w:pPr>
          </w:p>
        </w:tc>
        <w:tc>
          <w:tcPr>
            <w:tcW w:w="2652" w:type="dxa"/>
            <w:tcBorders>
              <w:top w:val="nil"/>
              <w:left w:val="nil"/>
              <w:bottom w:val="nil"/>
              <w:right w:val="nil"/>
            </w:tcBorders>
            <w:shd w:val="clear" w:color="auto" w:fill="B4C6E7"/>
          </w:tcPr>
          <w:p w14:paraId="2CCB1ACC" w14:textId="77777777" w:rsidR="00A55EE7" w:rsidRDefault="00A55EE7" w:rsidP="005228E1">
            <w:pPr>
              <w:rPr>
                <w:sz w:val="2"/>
              </w:rPr>
            </w:pPr>
          </w:p>
        </w:tc>
        <w:tc>
          <w:tcPr>
            <w:tcW w:w="2658" w:type="dxa"/>
            <w:tcBorders>
              <w:top w:val="nil"/>
              <w:left w:val="nil"/>
              <w:bottom w:val="nil"/>
              <w:right w:val="nil"/>
            </w:tcBorders>
            <w:shd w:val="clear" w:color="auto" w:fill="B4C6E7"/>
          </w:tcPr>
          <w:p w14:paraId="06CFDCD4" w14:textId="77777777" w:rsidR="00A55EE7" w:rsidRDefault="00A55EE7" w:rsidP="005228E1">
            <w:pPr>
              <w:rPr>
                <w:sz w:val="2"/>
              </w:rPr>
            </w:pPr>
          </w:p>
        </w:tc>
      </w:tr>
      <w:tr w:rsidR="00A55EE7" w:rsidRPr="00331447" w14:paraId="7E1B42E1" w14:textId="77777777" w:rsidTr="00821E91">
        <w:trPr>
          <w:trHeight w:val="377"/>
          <w:jc w:val="center"/>
        </w:trPr>
        <w:tc>
          <w:tcPr>
            <w:tcW w:w="1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130350" w14:textId="77777777" w:rsidR="00A55EE7" w:rsidRPr="00B03455" w:rsidRDefault="00A55EE7" w:rsidP="00821E91">
            <w:pPr>
              <w:spacing w:after="0"/>
              <w:rPr>
                <w:rFonts w:ascii="Calibri" w:hAnsi="Calibri"/>
                <w:b/>
                <w:sz w:val="22"/>
                <w:szCs w:val="22"/>
              </w:rPr>
            </w:pPr>
            <w:r w:rsidRPr="00B03455">
              <w:rPr>
                <w:rFonts w:ascii="Calibri" w:hAnsi="Calibri"/>
                <w:b/>
                <w:sz w:val="22"/>
                <w:szCs w:val="22"/>
              </w:rPr>
              <w:t>Lab</w:t>
            </w:r>
          </w:p>
        </w:tc>
        <w:tc>
          <w:tcPr>
            <w:tcW w:w="25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72B673" w14:textId="77777777" w:rsidR="00A55EE7" w:rsidRPr="00B03455" w:rsidRDefault="00A55EE7" w:rsidP="00821E91">
            <w:pPr>
              <w:spacing w:after="0"/>
              <w:rPr>
                <w:rFonts w:ascii="Calibri" w:hAnsi="Calibri"/>
                <w:b/>
                <w:sz w:val="22"/>
                <w:szCs w:val="22"/>
              </w:rPr>
            </w:pPr>
            <w:r w:rsidRPr="00B03455">
              <w:rPr>
                <w:rFonts w:ascii="Calibri" w:hAnsi="Calibri"/>
                <w:b/>
                <w:sz w:val="22"/>
                <w:szCs w:val="22"/>
              </w:rPr>
              <w:t>Baseline</w:t>
            </w:r>
          </w:p>
        </w:tc>
        <w:tc>
          <w:tcPr>
            <w:tcW w:w="265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CE684A" w14:textId="77777777" w:rsidR="00A55EE7" w:rsidRPr="00B03455" w:rsidRDefault="00A55EE7" w:rsidP="00821E91">
            <w:pPr>
              <w:spacing w:after="0"/>
              <w:rPr>
                <w:rFonts w:ascii="Calibri" w:hAnsi="Calibri"/>
                <w:b/>
                <w:sz w:val="22"/>
                <w:szCs w:val="22"/>
              </w:rPr>
            </w:pPr>
            <w:r w:rsidRPr="00B03455">
              <w:rPr>
                <w:rFonts w:ascii="Calibri" w:hAnsi="Calibri"/>
                <w:b/>
                <w:sz w:val="22"/>
                <w:szCs w:val="22"/>
              </w:rPr>
              <w:t>Follow-Up</w:t>
            </w:r>
          </w:p>
        </w:tc>
        <w:tc>
          <w:tcPr>
            <w:tcW w:w="26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83CB4D" w14:textId="6E538463" w:rsidR="00A55EE7" w:rsidRPr="00B03455" w:rsidRDefault="005228E1" w:rsidP="00821E91">
            <w:pPr>
              <w:spacing w:after="0"/>
              <w:rPr>
                <w:rFonts w:ascii="Calibri" w:hAnsi="Calibri"/>
                <w:b/>
                <w:sz w:val="22"/>
                <w:szCs w:val="22"/>
              </w:rPr>
            </w:pPr>
            <w:r>
              <w:rPr>
                <w:rFonts w:ascii="Calibri" w:hAnsi="Calibri"/>
                <w:b/>
                <w:sz w:val="22"/>
                <w:szCs w:val="22"/>
              </w:rPr>
              <w:t>Critical</w:t>
            </w:r>
            <w:r w:rsidR="00A55EE7" w:rsidRPr="00B03455">
              <w:rPr>
                <w:rFonts w:ascii="Calibri" w:hAnsi="Calibri"/>
                <w:b/>
                <w:sz w:val="22"/>
                <w:szCs w:val="22"/>
              </w:rPr>
              <w:t xml:space="preserve">/Notify provider if: </w:t>
            </w:r>
          </w:p>
        </w:tc>
      </w:tr>
      <w:tr w:rsidR="00A55EE7" w:rsidRPr="00331447" w14:paraId="06975CFD" w14:textId="77777777" w:rsidTr="00DD230C">
        <w:trPr>
          <w:trHeight w:val="1250"/>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F8F271D" w14:textId="77777777" w:rsidR="00A55EE7" w:rsidRDefault="00A55EE7" w:rsidP="005228E1">
            <w:pPr>
              <w:rPr>
                <w:rFonts w:ascii="Calibri" w:hAnsi="Calibri"/>
                <w:b/>
                <w:sz w:val="22"/>
                <w:szCs w:val="22"/>
              </w:rPr>
            </w:pPr>
            <w:r w:rsidRPr="00B03455">
              <w:rPr>
                <w:rFonts w:ascii="Calibri" w:hAnsi="Calibri"/>
                <w:b/>
                <w:sz w:val="22"/>
                <w:szCs w:val="22"/>
              </w:rPr>
              <w:t>SCr and eGFR</w:t>
            </w:r>
          </w:p>
          <w:p w14:paraId="76E19FF4" w14:textId="6724635C" w:rsidR="005F4DF3" w:rsidRPr="00B03455" w:rsidRDefault="005F4DF3" w:rsidP="005228E1">
            <w:pPr>
              <w:rPr>
                <w:rFonts w:ascii="Calibri" w:hAnsi="Calibri"/>
                <w:b/>
                <w:sz w:val="22"/>
                <w:szCs w:val="22"/>
              </w:rPr>
            </w:pPr>
            <w:r>
              <w:rPr>
                <w:rFonts w:ascii="Calibri" w:hAnsi="Calibri"/>
                <w:b/>
                <w:sz w:val="22"/>
                <w:szCs w:val="22"/>
              </w:rPr>
              <w:t xml:space="preserve">(as part of a </w:t>
            </w:r>
            <w:r w:rsidR="00A86FB9">
              <w:rPr>
                <w:rFonts w:ascii="Calibri" w:hAnsi="Calibri"/>
                <w:b/>
                <w:sz w:val="22"/>
                <w:szCs w:val="22"/>
              </w:rPr>
              <w:t>C</w:t>
            </w:r>
            <w:r>
              <w:rPr>
                <w:rFonts w:ascii="Calibri" w:hAnsi="Calibri"/>
                <w:b/>
                <w:sz w:val="22"/>
                <w:szCs w:val="22"/>
              </w:rPr>
              <w:t>MP)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8C25B56" w14:textId="564CB8C0" w:rsidR="00A55EE7" w:rsidRPr="00B03455" w:rsidRDefault="00A55EE7" w:rsidP="005228E1">
            <w:pPr>
              <w:rPr>
                <w:rFonts w:ascii="Calibri" w:hAnsi="Calibri"/>
                <w:sz w:val="22"/>
                <w:szCs w:val="22"/>
              </w:rPr>
            </w:pPr>
            <w:r w:rsidRPr="00B03455">
              <w:rPr>
                <w:rFonts w:ascii="Calibri" w:hAnsi="Calibri" w:cs="Calibri"/>
                <w:sz w:val="22"/>
                <w:szCs w:val="22"/>
              </w:rPr>
              <w:t>All patients within 12 months of starting diuretic, ACEi, ARB, or MRA</w:t>
            </w:r>
            <w:r w:rsidR="00F6119B">
              <w:rPr>
                <w:rFonts w:ascii="Calibri" w:hAnsi="Calibri" w:cs="Calibri"/>
                <w:sz w:val="22"/>
                <w:szCs w:val="22"/>
              </w:rPr>
              <w:t>.</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336CA48" w14:textId="585890B0" w:rsidR="00A55EE7" w:rsidRPr="00B03455" w:rsidRDefault="00A55EE7" w:rsidP="005228E1">
            <w:pPr>
              <w:rPr>
                <w:rFonts w:ascii="Calibri" w:hAnsi="Calibri"/>
                <w:sz w:val="22"/>
                <w:szCs w:val="22"/>
              </w:rPr>
            </w:pPr>
            <w:r w:rsidRPr="00B03455">
              <w:rPr>
                <w:rFonts w:ascii="Calibri" w:hAnsi="Calibri" w:cs="Calibri"/>
                <w:sz w:val="22"/>
                <w:szCs w:val="22"/>
              </w:rPr>
              <w:t xml:space="preserve">Within 4 weeks of starting or titrating a diuretic, ACEi, ARB, or MRA or within 4 weeks of a significant change from baseline. </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47FB1668" w14:textId="77777777" w:rsidR="00A55EE7" w:rsidRPr="00B03455" w:rsidRDefault="00A55EE7" w:rsidP="005228E1">
            <w:pPr>
              <w:rPr>
                <w:rFonts w:ascii="Calibri" w:hAnsi="Calibri"/>
                <w:sz w:val="22"/>
                <w:szCs w:val="22"/>
              </w:rPr>
            </w:pPr>
            <w:r w:rsidRPr="00B03455">
              <w:rPr>
                <w:rFonts w:ascii="Calibri" w:hAnsi="Calibri"/>
                <w:sz w:val="22"/>
                <w:szCs w:val="22"/>
              </w:rPr>
              <w:t>SCr increased by &gt;0.4 mg/dL or &gt; 30% or is progressive.</w:t>
            </w:r>
          </w:p>
        </w:tc>
      </w:tr>
      <w:tr w:rsidR="00A55EE7" w:rsidRPr="00331447" w14:paraId="54B91EE3"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4584A6A" w14:textId="6CAA4A14" w:rsidR="00A55EE7" w:rsidRDefault="00AC7ABD" w:rsidP="005228E1">
            <w:pPr>
              <w:rPr>
                <w:rFonts w:ascii="Calibri" w:hAnsi="Calibri"/>
                <w:b/>
                <w:sz w:val="22"/>
                <w:szCs w:val="22"/>
              </w:rPr>
            </w:pPr>
            <w:r>
              <w:rPr>
                <w:rFonts w:ascii="Calibri" w:hAnsi="Calibri"/>
                <w:b/>
                <w:sz w:val="22"/>
                <w:szCs w:val="22"/>
              </w:rPr>
              <w:t>Serum sodium, p</w:t>
            </w:r>
            <w:r w:rsidR="00A55EE7" w:rsidRPr="00B03455">
              <w:rPr>
                <w:rFonts w:ascii="Calibri" w:hAnsi="Calibri"/>
                <w:b/>
                <w:sz w:val="22"/>
                <w:szCs w:val="22"/>
              </w:rPr>
              <w:t>otassium</w:t>
            </w:r>
            <w:r>
              <w:rPr>
                <w:rFonts w:ascii="Calibri" w:hAnsi="Calibri"/>
                <w:b/>
                <w:sz w:val="22"/>
                <w:szCs w:val="22"/>
              </w:rPr>
              <w:t>, calcium</w:t>
            </w:r>
          </w:p>
          <w:p w14:paraId="77D71B24" w14:textId="0E07E266" w:rsidR="005F4DF3" w:rsidRPr="00B03455" w:rsidRDefault="005F4DF3" w:rsidP="005228E1">
            <w:pPr>
              <w:rPr>
                <w:rFonts w:ascii="Calibri" w:hAnsi="Calibri"/>
                <w:b/>
                <w:sz w:val="22"/>
                <w:szCs w:val="22"/>
              </w:rPr>
            </w:pPr>
            <w:r>
              <w:rPr>
                <w:rFonts w:ascii="Calibri" w:hAnsi="Calibri"/>
                <w:b/>
                <w:sz w:val="22"/>
                <w:szCs w:val="22"/>
              </w:rPr>
              <w:t xml:space="preserve">(as part of a </w:t>
            </w:r>
            <w:r w:rsidR="00AC7ABD">
              <w:rPr>
                <w:rFonts w:ascii="Calibri" w:hAnsi="Calibri"/>
                <w:b/>
                <w:sz w:val="22"/>
                <w:szCs w:val="22"/>
              </w:rPr>
              <w:t>C</w:t>
            </w:r>
            <w:r>
              <w:rPr>
                <w:rFonts w:ascii="Calibri" w:hAnsi="Calibri"/>
                <w:b/>
                <w:sz w:val="22"/>
                <w:szCs w:val="22"/>
              </w:rPr>
              <w:t>MP)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2392DFD" w14:textId="3938751A" w:rsidR="00A55EE7" w:rsidRPr="00B03455" w:rsidRDefault="00A55EE7" w:rsidP="005228E1">
            <w:pPr>
              <w:rPr>
                <w:rFonts w:ascii="Calibri" w:hAnsi="Calibri"/>
                <w:sz w:val="22"/>
                <w:szCs w:val="22"/>
              </w:rPr>
            </w:pPr>
            <w:r w:rsidRPr="00B03455">
              <w:rPr>
                <w:rFonts w:ascii="Calibri" w:hAnsi="Calibri" w:cs="Calibri"/>
                <w:sz w:val="22"/>
                <w:szCs w:val="22"/>
              </w:rPr>
              <w:t>All patients within 12 months</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6A60AC4" w14:textId="284D0317" w:rsidR="00A55EE7" w:rsidRPr="00B03455" w:rsidRDefault="00A86FB9" w:rsidP="005228E1">
            <w:pPr>
              <w:rPr>
                <w:rFonts w:ascii="Calibri" w:hAnsi="Calibri" w:cs="Calibri"/>
                <w:b/>
                <w:sz w:val="22"/>
                <w:szCs w:val="22"/>
              </w:rPr>
            </w:pPr>
            <w:r>
              <w:rPr>
                <w:rFonts w:ascii="Calibri" w:hAnsi="Calibri" w:cs="Calibri"/>
                <w:sz w:val="22"/>
                <w:szCs w:val="22"/>
              </w:rPr>
              <w:t>Annually and w</w:t>
            </w:r>
            <w:r w:rsidR="00A55EE7" w:rsidRPr="00B03455">
              <w:rPr>
                <w:rFonts w:ascii="Calibri" w:hAnsi="Calibri" w:cs="Calibri"/>
                <w:sz w:val="22"/>
                <w:szCs w:val="22"/>
              </w:rPr>
              <w:t>ithin 4 weeks of starting</w:t>
            </w:r>
            <w:r>
              <w:rPr>
                <w:rFonts w:ascii="Calibri" w:hAnsi="Calibri" w:cs="Calibri"/>
                <w:sz w:val="22"/>
                <w:szCs w:val="22"/>
              </w:rPr>
              <w:t xml:space="preserve"> or </w:t>
            </w:r>
            <w:r w:rsidR="00A55EE7" w:rsidRPr="00B03455">
              <w:rPr>
                <w:rFonts w:ascii="Calibri" w:hAnsi="Calibri" w:cs="Calibri"/>
                <w:sz w:val="22"/>
                <w:szCs w:val="22"/>
              </w:rPr>
              <w:t>titrating diuretic, ACEi, ARB, MRA or within 7 to 10 days of abnormal result.</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32B799DE" w14:textId="756F4E5B" w:rsidR="00A55EE7" w:rsidRPr="00B03455" w:rsidRDefault="00A55EE7" w:rsidP="005228E1">
            <w:pPr>
              <w:rPr>
                <w:rFonts w:ascii="Calibri" w:hAnsi="Calibri"/>
                <w:sz w:val="22"/>
                <w:szCs w:val="22"/>
              </w:rPr>
            </w:pPr>
            <w:r w:rsidRPr="00B03455">
              <w:rPr>
                <w:rFonts w:ascii="Calibri" w:hAnsi="Calibri"/>
                <w:sz w:val="22"/>
                <w:szCs w:val="22"/>
              </w:rPr>
              <w:t>K+ &lt;3.0 m</w:t>
            </w:r>
            <w:r w:rsidR="00FD2993">
              <w:rPr>
                <w:rFonts w:ascii="Calibri" w:hAnsi="Calibri"/>
                <w:sz w:val="22"/>
                <w:szCs w:val="22"/>
              </w:rPr>
              <w:t>mol</w:t>
            </w:r>
            <w:r w:rsidRPr="00B03455">
              <w:rPr>
                <w:rFonts w:ascii="Calibri" w:hAnsi="Calibri"/>
                <w:sz w:val="22"/>
                <w:szCs w:val="22"/>
              </w:rPr>
              <w:t xml:space="preserve">/L or </w:t>
            </w:r>
          </w:p>
          <w:p w14:paraId="4B5BCC36" w14:textId="1CD9430E" w:rsidR="00A55EE7" w:rsidRDefault="00A55EE7" w:rsidP="005228E1">
            <w:pPr>
              <w:rPr>
                <w:rFonts w:ascii="Calibri" w:hAnsi="Calibri"/>
                <w:sz w:val="22"/>
                <w:szCs w:val="22"/>
              </w:rPr>
            </w:pPr>
            <w:r w:rsidRPr="00B03455">
              <w:rPr>
                <w:rFonts w:ascii="Calibri" w:hAnsi="Calibri"/>
                <w:sz w:val="22"/>
                <w:szCs w:val="22"/>
              </w:rPr>
              <w:t>&gt;6.0 m</w:t>
            </w:r>
            <w:r w:rsidR="00FD2993">
              <w:rPr>
                <w:rFonts w:ascii="Calibri" w:hAnsi="Calibri"/>
                <w:sz w:val="22"/>
                <w:szCs w:val="22"/>
              </w:rPr>
              <w:t>mol</w:t>
            </w:r>
            <w:r w:rsidRPr="00B03455">
              <w:rPr>
                <w:rFonts w:ascii="Calibri" w:hAnsi="Calibri"/>
                <w:sz w:val="22"/>
                <w:szCs w:val="22"/>
              </w:rPr>
              <w:t>/L</w:t>
            </w:r>
          </w:p>
          <w:p w14:paraId="1BB61B2C" w14:textId="08B43ACE" w:rsidR="00A86FB9" w:rsidRPr="00B03455" w:rsidRDefault="00A86FB9" w:rsidP="00A86FB9">
            <w:pPr>
              <w:rPr>
                <w:rFonts w:ascii="Calibri" w:hAnsi="Calibri"/>
                <w:sz w:val="22"/>
                <w:szCs w:val="22"/>
              </w:rPr>
            </w:pPr>
            <w:r w:rsidRPr="00B03455">
              <w:rPr>
                <w:rFonts w:ascii="Calibri" w:hAnsi="Calibri"/>
                <w:sz w:val="22"/>
                <w:szCs w:val="22"/>
              </w:rPr>
              <w:t>Na+ &lt;130 m</w:t>
            </w:r>
            <w:r w:rsidR="00FD2993">
              <w:rPr>
                <w:rFonts w:ascii="Calibri" w:hAnsi="Calibri"/>
                <w:sz w:val="22"/>
                <w:szCs w:val="22"/>
              </w:rPr>
              <w:t>mol</w:t>
            </w:r>
            <w:r w:rsidRPr="00B03455">
              <w:rPr>
                <w:rFonts w:ascii="Calibri" w:hAnsi="Calibri"/>
                <w:sz w:val="22"/>
                <w:szCs w:val="22"/>
              </w:rPr>
              <w:t>/L or</w:t>
            </w:r>
          </w:p>
          <w:p w14:paraId="0A3B3BFF" w14:textId="21751530" w:rsidR="00A86FB9" w:rsidRDefault="00A86FB9" w:rsidP="00A86FB9">
            <w:pPr>
              <w:rPr>
                <w:rFonts w:ascii="Calibri" w:hAnsi="Calibri"/>
                <w:sz w:val="22"/>
                <w:szCs w:val="22"/>
              </w:rPr>
            </w:pPr>
            <w:r w:rsidRPr="00B03455">
              <w:rPr>
                <w:rFonts w:ascii="Calibri" w:hAnsi="Calibri"/>
                <w:sz w:val="22"/>
                <w:szCs w:val="22"/>
              </w:rPr>
              <w:t>&gt;150 m</w:t>
            </w:r>
            <w:r w:rsidR="00FD2993">
              <w:rPr>
                <w:rFonts w:ascii="Calibri" w:hAnsi="Calibri"/>
                <w:sz w:val="22"/>
                <w:szCs w:val="22"/>
              </w:rPr>
              <w:t>mol</w:t>
            </w:r>
            <w:r w:rsidRPr="00B03455">
              <w:rPr>
                <w:rFonts w:ascii="Calibri" w:hAnsi="Calibri"/>
                <w:sz w:val="22"/>
                <w:szCs w:val="22"/>
              </w:rPr>
              <w:t>/L</w:t>
            </w:r>
          </w:p>
          <w:p w14:paraId="458A29BB" w14:textId="5EBB8D9E" w:rsidR="00A86FB9" w:rsidRDefault="00A86FB9" w:rsidP="00A86FB9">
            <w:pPr>
              <w:rPr>
                <w:rFonts w:ascii="Calibri" w:hAnsi="Calibri"/>
                <w:sz w:val="22"/>
                <w:szCs w:val="22"/>
              </w:rPr>
            </w:pPr>
            <w:r w:rsidRPr="00FD2993">
              <w:rPr>
                <w:rFonts w:ascii="Calibri" w:hAnsi="Calibri"/>
                <w:sz w:val="22"/>
                <w:szCs w:val="22"/>
              </w:rPr>
              <w:lastRenderedPageBreak/>
              <w:t xml:space="preserve">Ca2+ </w:t>
            </w:r>
            <w:r w:rsidR="00FD2993">
              <w:rPr>
                <w:rFonts w:ascii="Calibri" w:hAnsi="Calibri"/>
                <w:sz w:val="22"/>
                <w:szCs w:val="22"/>
              </w:rPr>
              <w:t xml:space="preserve"> &lt; 8.5 mg/dL</w:t>
            </w:r>
          </w:p>
          <w:p w14:paraId="48969AB0" w14:textId="5BA9BB84" w:rsidR="00FD2993" w:rsidRPr="00B03455" w:rsidRDefault="00FD2993" w:rsidP="00A86FB9">
            <w:pPr>
              <w:rPr>
                <w:rFonts w:ascii="Calibri" w:hAnsi="Calibri"/>
                <w:sz w:val="22"/>
                <w:szCs w:val="22"/>
              </w:rPr>
            </w:pPr>
            <w:r>
              <w:rPr>
                <w:rFonts w:ascii="Calibri" w:hAnsi="Calibri"/>
                <w:sz w:val="22"/>
                <w:szCs w:val="22"/>
              </w:rPr>
              <w:t>&gt;12 mg/dL</w:t>
            </w:r>
          </w:p>
        </w:tc>
      </w:tr>
      <w:tr w:rsidR="00A55EE7" w:rsidRPr="00331447" w14:paraId="05BACE9E"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636AF38" w14:textId="77777777" w:rsidR="00A55EE7" w:rsidRPr="00B03455" w:rsidRDefault="00A55EE7" w:rsidP="005228E1">
            <w:pPr>
              <w:rPr>
                <w:rFonts w:ascii="Calibri" w:hAnsi="Calibri"/>
                <w:b/>
                <w:sz w:val="22"/>
                <w:szCs w:val="22"/>
              </w:rPr>
            </w:pPr>
            <w:r w:rsidRPr="00B03455">
              <w:rPr>
                <w:rFonts w:ascii="Calibri" w:hAnsi="Calibri" w:cs="Calibri"/>
                <w:b/>
                <w:sz w:val="22"/>
                <w:szCs w:val="22"/>
              </w:rPr>
              <w:lastRenderedPageBreak/>
              <w:t xml:space="preserve">Spot </w:t>
            </w:r>
            <w:r w:rsidRPr="00B03455">
              <w:rPr>
                <w:rFonts w:ascii="Calibri" w:hAnsi="Calibri"/>
                <w:b/>
                <w:bCs/>
                <w:sz w:val="22"/>
                <w:szCs w:val="22"/>
              </w:rPr>
              <w:t>urinary albumin-to-creatinine ratio</w:t>
            </w:r>
            <w:r w:rsidRPr="00B03455">
              <w:rPr>
                <w:rFonts w:ascii="Calibri" w:hAnsi="Calibri" w:cs="Calibri"/>
                <w:b/>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AECE4F6" w14:textId="77777777" w:rsidR="00A55EE7" w:rsidRPr="00B03455" w:rsidRDefault="00A55EE7" w:rsidP="005228E1">
            <w:pPr>
              <w:rPr>
                <w:rFonts w:ascii="Calibri" w:hAnsi="Calibri"/>
                <w:sz w:val="22"/>
                <w:szCs w:val="22"/>
              </w:rPr>
            </w:pPr>
            <w:r w:rsidRPr="00B03455">
              <w:rPr>
                <w:rFonts w:ascii="Calibri" w:hAnsi="Calibri" w:cs="Calibri"/>
                <w:sz w:val="22"/>
                <w:szCs w:val="22"/>
              </w:rPr>
              <w:t>All patients within 12 months if patient has diabetes or otherwise clinically indicated.</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D18A79B" w14:textId="77777777" w:rsidR="00A55EE7" w:rsidRPr="00B03455" w:rsidRDefault="00A55EE7" w:rsidP="005228E1">
            <w:pPr>
              <w:rPr>
                <w:rFonts w:ascii="Calibri" w:hAnsi="Calibri"/>
                <w:sz w:val="22"/>
                <w:szCs w:val="22"/>
              </w:rPr>
            </w:pPr>
            <w:r w:rsidRPr="00B03455">
              <w:rPr>
                <w:rFonts w:ascii="Calibri" w:hAnsi="Calibri"/>
                <w:sz w:val="22"/>
                <w:szCs w:val="22"/>
              </w:rPr>
              <w:t xml:space="preserve">Annually. </w:t>
            </w:r>
          </w:p>
          <w:p w14:paraId="45E2B0E9" w14:textId="77777777" w:rsidR="00A55EE7" w:rsidRPr="00B03455" w:rsidRDefault="00A55EE7" w:rsidP="005228E1">
            <w:pPr>
              <w:rPr>
                <w:rFonts w:ascii="Calibri" w:hAnsi="Calibri"/>
                <w:sz w:val="22"/>
                <w:szCs w:val="22"/>
              </w:rPr>
            </w:pPr>
            <w:r w:rsidRPr="00B03455">
              <w:rPr>
                <w:rFonts w:ascii="Calibri" w:hAnsi="Calibri"/>
                <w:sz w:val="22"/>
                <w:szCs w:val="22"/>
              </w:rPr>
              <w:t>May order if on ACEI/ARB. May order repeat lab to confirm abnormal result.</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24A9BF0D" w14:textId="77777777" w:rsidR="00A55EE7" w:rsidRPr="00B03455" w:rsidRDefault="00A55EE7" w:rsidP="005228E1">
            <w:pPr>
              <w:rPr>
                <w:rFonts w:ascii="Calibri" w:hAnsi="Calibri"/>
                <w:sz w:val="22"/>
                <w:szCs w:val="22"/>
              </w:rPr>
            </w:pPr>
            <w:r w:rsidRPr="00B03455">
              <w:rPr>
                <w:rFonts w:ascii="Calibri" w:hAnsi="Calibri"/>
                <w:sz w:val="22"/>
                <w:szCs w:val="22"/>
              </w:rPr>
              <w:t xml:space="preserve"> New abnormal result or if progressive increase.</w:t>
            </w:r>
          </w:p>
          <w:p w14:paraId="1F13187C" w14:textId="77777777" w:rsidR="00A55EE7" w:rsidRPr="00B03455" w:rsidRDefault="00A55EE7" w:rsidP="005228E1">
            <w:pPr>
              <w:rPr>
                <w:rFonts w:ascii="Calibri" w:hAnsi="Calibri"/>
                <w:sz w:val="22"/>
                <w:szCs w:val="22"/>
              </w:rPr>
            </w:pPr>
            <w:r w:rsidRPr="00B03455">
              <w:rPr>
                <w:rFonts w:ascii="Calibri" w:hAnsi="Calibri"/>
                <w:sz w:val="22"/>
                <w:szCs w:val="22"/>
              </w:rPr>
              <w:t>≥30 to 299 mg/g creatinine (microalbuminuria)</w:t>
            </w:r>
          </w:p>
          <w:p w14:paraId="3A9F20D1" w14:textId="77777777" w:rsidR="00A55EE7" w:rsidRPr="00B03455" w:rsidRDefault="00A55EE7" w:rsidP="005228E1">
            <w:pPr>
              <w:rPr>
                <w:rFonts w:ascii="Calibri" w:hAnsi="Calibri"/>
                <w:sz w:val="22"/>
                <w:szCs w:val="22"/>
              </w:rPr>
            </w:pPr>
            <w:r w:rsidRPr="00B03455">
              <w:rPr>
                <w:rFonts w:ascii="Calibri" w:hAnsi="Calibri"/>
                <w:sz w:val="22"/>
                <w:szCs w:val="22"/>
              </w:rPr>
              <w:t>≥300 (macroalbuminuria)</w:t>
            </w:r>
          </w:p>
        </w:tc>
      </w:tr>
      <w:tr w:rsidR="00A55EE7" w:rsidRPr="00331447" w14:paraId="5B5A37A5"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A952AF5" w14:textId="366226C9" w:rsidR="00A55EE7" w:rsidRPr="00B03455" w:rsidRDefault="00A55EE7" w:rsidP="005228E1">
            <w:pPr>
              <w:rPr>
                <w:rFonts w:ascii="Calibri" w:hAnsi="Calibri"/>
                <w:b/>
                <w:sz w:val="22"/>
                <w:szCs w:val="22"/>
              </w:rPr>
            </w:pPr>
            <w:r w:rsidRPr="00B03455">
              <w:rPr>
                <w:rFonts w:ascii="Calibri" w:hAnsi="Calibri"/>
                <w:b/>
                <w:sz w:val="22"/>
                <w:szCs w:val="22"/>
              </w:rPr>
              <w:t>Blood Urea Nitrogen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79DF59B" w14:textId="5179497A" w:rsidR="00A55EE7" w:rsidRPr="00B03455" w:rsidRDefault="00A55EE7" w:rsidP="005228E1">
            <w:pPr>
              <w:rPr>
                <w:rFonts w:ascii="Calibri" w:hAnsi="Calibri"/>
                <w:sz w:val="22"/>
                <w:szCs w:val="22"/>
              </w:rPr>
            </w:pPr>
            <w:r w:rsidRPr="00B03455">
              <w:rPr>
                <w:rFonts w:ascii="Calibri" w:hAnsi="Calibri" w:cs="Calibri"/>
                <w:sz w:val="22"/>
                <w:szCs w:val="22"/>
              </w:rPr>
              <w:t>Prior to starting diuretic if dehydration suspected or</w:t>
            </w:r>
            <w:r w:rsidR="001C13EB">
              <w:rPr>
                <w:rFonts w:ascii="Calibri" w:hAnsi="Calibri" w:cs="Calibri"/>
                <w:sz w:val="22"/>
                <w:szCs w:val="22"/>
              </w:rPr>
              <w:t xml:space="preserve"> if otherwise</w:t>
            </w:r>
            <w:r w:rsidRPr="00B03455">
              <w:rPr>
                <w:rFonts w:ascii="Calibri" w:hAnsi="Calibri" w:cs="Calibri"/>
                <w:sz w:val="22"/>
                <w:szCs w:val="22"/>
              </w:rPr>
              <w:t xml:space="preserve"> clinically indicated.</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1E43E23" w14:textId="2D28F9FE" w:rsidR="00A55EE7" w:rsidRPr="00B03455" w:rsidRDefault="00A55EE7" w:rsidP="005228E1">
            <w:pPr>
              <w:rPr>
                <w:rFonts w:ascii="Calibri" w:hAnsi="Calibri"/>
                <w:sz w:val="22"/>
                <w:szCs w:val="22"/>
              </w:rPr>
            </w:pPr>
            <w:r w:rsidRPr="00B03455">
              <w:rPr>
                <w:rFonts w:ascii="Calibri" w:hAnsi="Calibri" w:cs="Calibri"/>
                <w:sz w:val="22"/>
                <w:szCs w:val="22"/>
              </w:rPr>
              <w:t>If patient is on a diuretic, ACEi or ARB and dehydration is suspected or if</w:t>
            </w:r>
            <w:r w:rsidR="001C13EB">
              <w:rPr>
                <w:rFonts w:ascii="Calibri" w:hAnsi="Calibri" w:cs="Calibri"/>
                <w:sz w:val="22"/>
                <w:szCs w:val="22"/>
              </w:rPr>
              <w:t xml:space="preserve"> otherwise</w:t>
            </w:r>
            <w:r w:rsidRPr="00B03455">
              <w:rPr>
                <w:rFonts w:ascii="Calibri" w:hAnsi="Calibri" w:cs="Calibri"/>
                <w:sz w:val="22"/>
                <w:szCs w:val="22"/>
              </w:rPr>
              <w:t xml:space="preserve"> clinically indicated.</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2C307DE3" w14:textId="77777777" w:rsidR="00A55EE7" w:rsidRPr="00B03455" w:rsidRDefault="00A55EE7" w:rsidP="005228E1">
            <w:pPr>
              <w:rPr>
                <w:rFonts w:ascii="Calibri" w:hAnsi="Calibri"/>
                <w:sz w:val="22"/>
                <w:szCs w:val="22"/>
              </w:rPr>
            </w:pPr>
            <w:r w:rsidRPr="00B03455">
              <w:rPr>
                <w:rFonts w:ascii="Calibri" w:hAnsi="Calibri"/>
                <w:sz w:val="22"/>
                <w:szCs w:val="22"/>
              </w:rPr>
              <w:t>Change in BUN:SCr ratio to &gt;20:1</w:t>
            </w:r>
          </w:p>
        </w:tc>
      </w:tr>
      <w:tr w:rsidR="00A55EE7" w:rsidRPr="00331447" w14:paraId="58BCA6CB"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F159F0B" w14:textId="77777777" w:rsidR="00A55EE7" w:rsidRPr="00B03455" w:rsidRDefault="00A55EE7" w:rsidP="005228E1">
            <w:pPr>
              <w:rPr>
                <w:rFonts w:ascii="Calibri" w:hAnsi="Calibri"/>
                <w:b/>
                <w:sz w:val="22"/>
                <w:szCs w:val="22"/>
              </w:rPr>
            </w:pPr>
            <w:r w:rsidRPr="00B03455">
              <w:rPr>
                <w:rFonts w:ascii="Calibri" w:hAnsi="Calibri"/>
                <w:b/>
                <w:sz w:val="22"/>
                <w:szCs w:val="22"/>
              </w:rPr>
              <w:t>Uric acid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832443" w14:textId="0BA59EA9" w:rsidR="00A55EE7" w:rsidRPr="00B03455" w:rsidRDefault="00A55EE7" w:rsidP="005228E1">
            <w:pPr>
              <w:rPr>
                <w:rFonts w:ascii="Calibri" w:hAnsi="Calibri"/>
                <w:sz w:val="22"/>
                <w:szCs w:val="22"/>
              </w:rPr>
            </w:pPr>
            <w:r w:rsidRPr="00B03455">
              <w:rPr>
                <w:rFonts w:ascii="Calibri" w:hAnsi="Calibri"/>
                <w:sz w:val="22"/>
                <w:szCs w:val="22"/>
              </w:rPr>
              <w:t>Within 12 months of starting a diuretic if gout flare is a concern</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113122E" w14:textId="6BC46CCB" w:rsidR="00A55EE7" w:rsidRPr="00B03455" w:rsidRDefault="00A55EE7" w:rsidP="005228E1">
            <w:pPr>
              <w:rPr>
                <w:rFonts w:ascii="Calibri" w:hAnsi="Calibri"/>
                <w:sz w:val="22"/>
                <w:szCs w:val="22"/>
              </w:rPr>
            </w:pPr>
            <w:r w:rsidRPr="00B03455">
              <w:rPr>
                <w:rFonts w:ascii="Calibri" w:hAnsi="Calibri"/>
                <w:sz w:val="22"/>
                <w:szCs w:val="22"/>
              </w:rPr>
              <w:t>Within 4 weeks of starting or titrating a diuretic or within 4 weeks of abnormal result if gout a concern</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73AD41A7" w14:textId="163875A5" w:rsidR="00A55EE7" w:rsidRPr="001C13EB" w:rsidRDefault="001C13EB" w:rsidP="005228E1">
            <w:pPr>
              <w:pStyle w:val="ListParagraph"/>
              <w:ind w:left="720" w:firstLine="0"/>
              <w:rPr>
                <w:rFonts w:ascii="Calibri" w:hAnsi="Calibri"/>
              </w:rPr>
            </w:pPr>
            <w:r>
              <w:rPr>
                <w:rFonts w:ascii="Calibri" w:hAnsi="Calibri"/>
                <w:u w:val="single"/>
              </w:rPr>
              <w:t>&gt;</w:t>
            </w:r>
            <w:r>
              <w:rPr>
                <w:rFonts w:ascii="Calibri" w:hAnsi="Calibri"/>
              </w:rPr>
              <w:t>7 mg/dL</w:t>
            </w:r>
          </w:p>
        </w:tc>
      </w:tr>
      <w:tr w:rsidR="00A55EE7" w:rsidRPr="00331447" w14:paraId="433504DC"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8578ECA" w14:textId="77777777" w:rsidR="00A55EE7" w:rsidRPr="00B03455" w:rsidRDefault="00A55EE7" w:rsidP="005228E1">
            <w:pPr>
              <w:rPr>
                <w:rFonts w:ascii="Calibri" w:hAnsi="Calibri"/>
                <w:b/>
                <w:sz w:val="22"/>
                <w:szCs w:val="22"/>
              </w:rPr>
            </w:pPr>
            <w:r w:rsidRPr="00B03455">
              <w:rPr>
                <w:rFonts w:ascii="Calibri" w:hAnsi="Calibri"/>
                <w:b/>
                <w:sz w:val="22"/>
                <w:szCs w:val="22"/>
              </w:rPr>
              <w:t>Lipid Profile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20DBB71" w14:textId="77777777" w:rsidR="00A55EE7" w:rsidRPr="00B03455" w:rsidRDefault="00A55EE7" w:rsidP="005228E1">
            <w:pPr>
              <w:rPr>
                <w:rFonts w:ascii="Calibri" w:hAnsi="Calibri" w:cs="Calibri"/>
                <w:b/>
                <w:sz w:val="22"/>
                <w:szCs w:val="22"/>
              </w:rPr>
            </w:pPr>
            <w:r w:rsidRPr="00B03455">
              <w:rPr>
                <w:rFonts w:ascii="Calibri" w:hAnsi="Calibri" w:cs="Calibri"/>
                <w:sz w:val="22"/>
                <w:szCs w:val="22"/>
              </w:rPr>
              <w:t>As initial screening if no lipid profile in the last 5 years for any patient aged 40-75 years with HTN</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3DCB2A5" w14:textId="6D309131" w:rsidR="00A55EE7" w:rsidRPr="00B03455" w:rsidRDefault="00A55EE7" w:rsidP="005228E1">
            <w:pPr>
              <w:rPr>
                <w:rFonts w:ascii="Calibri" w:hAnsi="Calibri"/>
                <w:sz w:val="22"/>
                <w:szCs w:val="22"/>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21BF4E8C" w14:textId="387F6DD7" w:rsidR="00A55EE7" w:rsidRPr="00B03455" w:rsidRDefault="00A55EE7" w:rsidP="005228E1">
            <w:pPr>
              <w:rPr>
                <w:rFonts w:ascii="Calibri" w:hAnsi="Calibri"/>
                <w:sz w:val="22"/>
                <w:szCs w:val="22"/>
              </w:rPr>
            </w:pPr>
            <w:r w:rsidRPr="00B03455">
              <w:rPr>
                <w:rFonts w:ascii="Calibri" w:hAnsi="Calibri"/>
                <w:sz w:val="22"/>
                <w:szCs w:val="22"/>
              </w:rPr>
              <w:t>TG &gt; 1000 mg/dL</w:t>
            </w:r>
          </w:p>
        </w:tc>
      </w:tr>
      <w:tr w:rsidR="00A55EE7" w:rsidRPr="00331447" w14:paraId="47DFF4F7"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4084802" w14:textId="32EC4A91" w:rsidR="00A55EE7" w:rsidRPr="00B03455" w:rsidRDefault="00A55EE7" w:rsidP="005228E1">
            <w:pPr>
              <w:rPr>
                <w:rFonts w:ascii="Calibri" w:hAnsi="Calibri"/>
                <w:b/>
                <w:sz w:val="22"/>
                <w:szCs w:val="22"/>
              </w:rPr>
            </w:pPr>
            <w:r w:rsidRPr="00B03455">
              <w:rPr>
                <w:rFonts w:ascii="Calibri" w:hAnsi="Calibri"/>
                <w:b/>
                <w:sz w:val="22"/>
                <w:szCs w:val="22"/>
              </w:rPr>
              <w:t>Hemoglobin A1C</w:t>
            </w:r>
            <w:r w:rsidR="00A86FB9">
              <w:rPr>
                <w:rFonts w:ascii="Calibri" w:hAnsi="Calibri"/>
                <w:b/>
                <w:sz w:val="22"/>
                <w:szCs w:val="22"/>
              </w:rPr>
              <w:t xml:space="preserve"> or fasting blood glucose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CBF57A2" w14:textId="1C33A6F8" w:rsidR="00A55EE7" w:rsidRPr="00B03455" w:rsidRDefault="00A55EE7" w:rsidP="005228E1">
            <w:pPr>
              <w:rPr>
                <w:rFonts w:ascii="Calibri" w:hAnsi="Calibri" w:cs="Calibri"/>
                <w:sz w:val="22"/>
                <w:szCs w:val="22"/>
              </w:rPr>
            </w:pPr>
            <w:r w:rsidRPr="00B03455">
              <w:rPr>
                <w:rFonts w:ascii="Calibri" w:hAnsi="Calibri" w:cs="Calibri"/>
                <w:sz w:val="22"/>
                <w:szCs w:val="22"/>
              </w:rPr>
              <w:t xml:space="preserve">As initial screening for diabetes mellitus or pre-diabetes in any </w:t>
            </w:r>
            <w:r w:rsidR="001C13EB">
              <w:rPr>
                <w:rFonts w:ascii="Calibri" w:hAnsi="Calibri" w:cs="Calibri"/>
                <w:sz w:val="22"/>
                <w:szCs w:val="22"/>
              </w:rPr>
              <w:t>adult with overweight or obesity and</w:t>
            </w:r>
            <w:r w:rsidRPr="00B03455">
              <w:rPr>
                <w:rFonts w:ascii="Calibri" w:hAnsi="Calibri" w:cs="Calibri"/>
                <w:sz w:val="22"/>
                <w:szCs w:val="22"/>
              </w:rPr>
              <w:t xml:space="preserve"> HTN</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391B2B3" w14:textId="5C9B2871" w:rsidR="00A55EE7" w:rsidRPr="00B03455" w:rsidRDefault="00A55EE7" w:rsidP="005228E1">
            <w:pPr>
              <w:rPr>
                <w:rFonts w:ascii="Calibri" w:hAnsi="Calibri"/>
                <w:sz w:val="22"/>
                <w:szCs w:val="22"/>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6D1BF2EF" w14:textId="77777777" w:rsidR="00A55EE7" w:rsidRDefault="00A86FB9" w:rsidP="005228E1">
            <w:pPr>
              <w:rPr>
                <w:rFonts w:ascii="Calibri" w:hAnsi="Calibri"/>
                <w:sz w:val="22"/>
                <w:szCs w:val="22"/>
              </w:rPr>
            </w:pPr>
            <w:r>
              <w:rPr>
                <w:rFonts w:ascii="Calibri" w:hAnsi="Calibri"/>
                <w:sz w:val="22"/>
                <w:szCs w:val="22"/>
              </w:rPr>
              <w:t xml:space="preserve">A1C </w:t>
            </w:r>
            <w:r w:rsidR="001C13EB">
              <w:rPr>
                <w:rFonts w:ascii="Calibri" w:hAnsi="Calibri"/>
                <w:sz w:val="22"/>
                <w:szCs w:val="22"/>
                <w:u w:val="single"/>
              </w:rPr>
              <w:t>&gt;</w:t>
            </w:r>
            <w:r w:rsidR="001C13EB">
              <w:rPr>
                <w:rFonts w:ascii="Calibri" w:hAnsi="Calibri"/>
                <w:sz w:val="22"/>
                <w:szCs w:val="22"/>
              </w:rPr>
              <w:t>5.7%</w:t>
            </w:r>
          </w:p>
          <w:p w14:paraId="4781567E" w14:textId="55CF7FA5" w:rsidR="00A86FB9" w:rsidRPr="00A86FB9" w:rsidRDefault="00A86FB9" w:rsidP="005228E1">
            <w:pPr>
              <w:rPr>
                <w:rFonts w:ascii="Calibri" w:hAnsi="Calibri"/>
                <w:sz w:val="22"/>
                <w:szCs w:val="22"/>
              </w:rPr>
            </w:pPr>
            <w:r>
              <w:rPr>
                <w:rFonts w:ascii="Calibri" w:hAnsi="Calibri"/>
                <w:sz w:val="22"/>
                <w:szCs w:val="22"/>
              </w:rPr>
              <w:t>FBG</w:t>
            </w:r>
            <w:r>
              <w:rPr>
                <w:rFonts w:ascii="Calibri" w:hAnsi="Calibri"/>
                <w:sz w:val="22"/>
                <w:szCs w:val="22"/>
                <w:u w:val="single"/>
              </w:rPr>
              <w:t>&gt;</w:t>
            </w:r>
            <w:r>
              <w:rPr>
                <w:rFonts w:ascii="Calibri" w:hAnsi="Calibri"/>
                <w:sz w:val="22"/>
                <w:szCs w:val="22"/>
              </w:rPr>
              <w:t xml:space="preserve"> 100 mg/dL</w:t>
            </w:r>
          </w:p>
        </w:tc>
      </w:tr>
    </w:tbl>
    <w:bookmarkEnd w:id="2"/>
    <w:p w14:paraId="2D44C942" w14:textId="2D6E07B1" w:rsidR="004E0514" w:rsidRPr="008B7C78" w:rsidRDefault="008B7C78" w:rsidP="005228E1">
      <w:pPr>
        <w:spacing w:after="0"/>
        <w:rPr>
          <w:rFonts w:asciiTheme="minorHAnsi" w:hAnsiTheme="minorHAnsi" w:cstheme="minorHAnsi"/>
          <w:sz w:val="20"/>
          <w:szCs w:val="20"/>
        </w:rPr>
      </w:pPr>
      <w:r>
        <w:rPr>
          <w:rFonts w:asciiTheme="minorHAnsi" w:hAnsiTheme="minorHAnsi" w:cstheme="minorHAnsi"/>
          <w:sz w:val="20"/>
          <w:szCs w:val="20"/>
        </w:rPr>
        <w:t>ACEi = angiotensin converting enzyme inhibitor; ARB = angiotensin receptor blocker; BUN = blood urea nitrogen; CMP = complete metabolic panel; eGFR = estimated glomerular filtration rate; FBG = fasting blood glucose; HTN = hypertension; MRA = mineralocorticoid receptor antagonist; SCr = serum creatinine; TG = triglycerides</w:t>
      </w:r>
    </w:p>
    <w:p w14:paraId="4648572D" w14:textId="77777777" w:rsidR="00C00A2C" w:rsidRDefault="00C00A2C">
      <w:pPr>
        <w:spacing w:after="0"/>
        <w:rPr>
          <w:rFonts w:asciiTheme="minorHAnsi" w:hAnsiTheme="minorHAnsi" w:cstheme="minorHAnsi"/>
          <w:b/>
          <w:bCs/>
          <w:sz w:val="22"/>
          <w:szCs w:val="22"/>
        </w:rPr>
      </w:pPr>
      <w:r>
        <w:rPr>
          <w:rFonts w:asciiTheme="minorHAnsi" w:hAnsiTheme="minorHAnsi" w:cstheme="minorHAnsi"/>
          <w:b/>
          <w:bCs/>
          <w:sz w:val="22"/>
          <w:szCs w:val="22"/>
        </w:rPr>
        <w:br w:type="page"/>
      </w:r>
    </w:p>
    <w:p w14:paraId="55940A07" w14:textId="3141250F" w:rsidR="00277510" w:rsidRPr="00C00A2C" w:rsidRDefault="008C7076" w:rsidP="00C00A2C">
      <w:pPr>
        <w:spacing w:after="0"/>
        <w:jc w:val="center"/>
        <w:rPr>
          <w:rFonts w:asciiTheme="minorHAnsi" w:hAnsiTheme="minorHAnsi" w:cstheme="minorHAnsi"/>
          <w:b/>
          <w:bCs/>
          <w:sz w:val="22"/>
          <w:szCs w:val="22"/>
        </w:rPr>
      </w:pPr>
      <w:r w:rsidRPr="00A65B27">
        <w:rPr>
          <w:rFonts w:asciiTheme="minorHAnsi" w:hAnsiTheme="minorHAnsi" w:cstheme="minorHAnsi"/>
          <w:b/>
          <w:bCs/>
          <w:color w:val="000000"/>
          <w:sz w:val="28"/>
          <w:szCs w:val="28"/>
        </w:rPr>
        <w:lastRenderedPageBreak/>
        <w:t>Appendix A</w:t>
      </w:r>
      <w:r w:rsidR="00A65B27">
        <w:rPr>
          <w:rFonts w:asciiTheme="minorHAnsi" w:hAnsiTheme="minorHAnsi" w:cstheme="minorHAnsi"/>
          <w:b/>
          <w:bCs/>
          <w:color w:val="000000"/>
          <w:sz w:val="28"/>
          <w:szCs w:val="28"/>
        </w:rPr>
        <w:t xml:space="preserve">: </w:t>
      </w:r>
      <w:r w:rsidR="00DD230C">
        <w:rPr>
          <w:rFonts w:asciiTheme="minorHAnsi" w:hAnsiTheme="minorHAnsi" w:cstheme="minorHAnsi"/>
          <w:b/>
          <w:bCs/>
          <w:color w:val="000000"/>
          <w:sz w:val="28"/>
          <w:szCs w:val="28"/>
        </w:rPr>
        <w:t>Medication Classes and Recommended Agents</w:t>
      </w:r>
    </w:p>
    <w:p w14:paraId="631C1C57" w14:textId="20B2E37B" w:rsidR="00C36525" w:rsidRDefault="00C36525" w:rsidP="00632D73">
      <w:pPr>
        <w:ind w:left="-187"/>
        <w:contextualSpacing/>
        <w:jc w:val="center"/>
        <w:rPr>
          <w:rFonts w:asciiTheme="minorHAnsi" w:hAnsiTheme="minorHAnsi" w:cstheme="minorHAnsi"/>
          <w:i/>
          <w:iCs/>
          <w:color w:val="000000"/>
          <w:sz w:val="20"/>
          <w:szCs w:val="20"/>
        </w:rPr>
      </w:pPr>
      <w:r w:rsidRPr="00AC7ABD">
        <w:rPr>
          <w:rFonts w:asciiTheme="minorHAnsi" w:hAnsiTheme="minorHAnsi" w:cstheme="minorHAnsi"/>
          <w:i/>
          <w:iCs/>
          <w:color w:val="000000"/>
          <w:sz w:val="20"/>
          <w:szCs w:val="20"/>
        </w:rPr>
        <w:t>All medications may be started at their usual starting dose per package inserts and evidence-based drug databases, based on patient</w:t>
      </w:r>
      <w:r w:rsidR="00DA757C" w:rsidRPr="00AC7ABD">
        <w:rPr>
          <w:rFonts w:asciiTheme="minorHAnsi" w:hAnsiTheme="minorHAnsi" w:cstheme="minorHAnsi"/>
          <w:i/>
          <w:iCs/>
          <w:color w:val="000000"/>
          <w:sz w:val="20"/>
          <w:szCs w:val="20"/>
        </w:rPr>
        <w:t>-specific factors such as renal and liver function.</w:t>
      </w:r>
    </w:p>
    <w:p w14:paraId="1B071AAE" w14:textId="77777777" w:rsidR="00DD230C" w:rsidRDefault="00DD230C" w:rsidP="00DD230C">
      <w:pPr>
        <w:ind w:left="-187"/>
        <w:contextualSpacing/>
        <w:rPr>
          <w:rFonts w:asciiTheme="minorHAnsi" w:hAnsiTheme="minorHAnsi" w:cstheme="minorHAnsi"/>
          <w:i/>
          <w:iCs/>
          <w:color w:val="000000"/>
          <w:sz w:val="20"/>
          <w:szCs w:val="20"/>
        </w:rPr>
      </w:pPr>
    </w:p>
    <w:p w14:paraId="436AD8F5" w14:textId="67B6C3DA" w:rsidR="00DD230C" w:rsidRPr="00DD230C" w:rsidRDefault="00DD230C" w:rsidP="00DD230C">
      <w:pPr>
        <w:ind w:left="-187"/>
        <w:contextualSpacing/>
        <w:rPr>
          <w:rFonts w:asciiTheme="minorHAnsi" w:hAnsiTheme="minorHAnsi" w:cstheme="minorHAnsi"/>
          <w:b/>
          <w:bCs/>
          <w:sz w:val="22"/>
          <w:szCs w:val="22"/>
        </w:rPr>
      </w:pPr>
      <w:r w:rsidRPr="00DD230C">
        <w:rPr>
          <w:rFonts w:asciiTheme="minorHAnsi" w:hAnsiTheme="minorHAnsi" w:cstheme="minorHAnsi"/>
          <w:b/>
          <w:bCs/>
          <w:color w:val="000000"/>
          <w:sz w:val="22"/>
          <w:szCs w:val="22"/>
        </w:rPr>
        <w:t>Table 4: Medications by Class</w:t>
      </w:r>
    </w:p>
    <w:tbl>
      <w:tblPr>
        <w:tblW w:w="10715" w:type="dxa"/>
        <w:tblInd w:w="-88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715"/>
      </w:tblGrid>
      <w:tr w:rsidR="00277510" w:rsidRPr="00DD230C" w14:paraId="2F29BD5B" w14:textId="77777777" w:rsidTr="008714D0">
        <w:trPr>
          <w:trHeight w:val="138"/>
        </w:trPr>
        <w:tc>
          <w:tcPr>
            <w:tcW w:w="10715" w:type="dxa"/>
            <w:tcBorders>
              <w:top w:val="single" w:sz="8" w:space="0" w:color="000000"/>
              <w:bottom w:val="single" w:sz="8" w:space="0" w:color="000000"/>
            </w:tcBorders>
            <w:shd w:val="clear" w:color="auto" w:fill="D0CECE" w:themeFill="background2" w:themeFillShade="E6"/>
          </w:tcPr>
          <w:p w14:paraId="0B9726EC" w14:textId="3EFEFC5F" w:rsidR="00277510" w:rsidRPr="00DD230C" w:rsidRDefault="00A55EE7" w:rsidP="004B028A">
            <w:pPr>
              <w:widowControl w:val="0"/>
              <w:autoSpaceDE w:val="0"/>
              <w:autoSpaceDN w:val="0"/>
              <w:adjustRightInd w:val="0"/>
              <w:spacing w:after="0"/>
              <w:contextualSpacing/>
              <w:jc w:val="center"/>
              <w:rPr>
                <w:rFonts w:asciiTheme="minorHAnsi" w:hAnsiTheme="minorHAnsi" w:cstheme="minorHAnsi"/>
                <w:b/>
                <w:bCs/>
                <w:color w:val="000000"/>
                <w:sz w:val="22"/>
                <w:szCs w:val="22"/>
              </w:rPr>
            </w:pPr>
            <w:r w:rsidRPr="00DD230C">
              <w:rPr>
                <w:rFonts w:asciiTheme="minorHAnsi" w:hAnsiTheme="minorHAnsi" w:cstheme="minorHAnsi"/>
                <w:b/>
                <w:bCs/>
                <w:color w:val="000000"/>
                <w:sz w:val="22"/>
                <w:szCs w:val="22"/>
              </w:rPr>
              <w:t>Thiazide or Thiazide-like Diuretics</w:t>
            </w:r>
          </w:p>
          <w:p w14:paraId="2A202B4C" w14:textId="247E6857" w:rsidR="00DA757C" w:rsidRPr="00DD230C" w:rsidRDefault="00DA757C" w:rsidP="004B028A">
            <w:pPr>
              <w:widowControl w:val="0"/>
              <w:autoSpaceDE w:val="0"/>
              <w:autoSpaceDN w:val="0"/>
              <w:adjustRightInd w:val="0"/>
              <w:spacing w:after="0"/>
              <w:contextualSpacing/>
              <w:rPr>
                <w:rFonts w:asciiTheme="minorHAnsi" w:hAnsiTheme="minorHAnsi" w:cstheme="minorHAnsi"/>
                <w:i/>
                <w:iCs/>
                <w:color w:val="000000"/>
                <w:sz w:val="22"/>
                <w:szCs w:val="22"/>
              </w:rPr>
            </w:pPr>
            <w:r w:rsidRPr="00DD230C">
              <w:rPr>
                <w:rFonts w:asciiTheme="minorHAnsi" w:hAnsiTheme="minorHAnsi" w:cstheme="minorHAnsi"/>
                <w:i/>
                <w:iCs/>
                <w:color w:val="000000"/>
                <w:sz w:val="22"/>
                <w:szCs w:val="22"/>
              </w:rPr>
              <w:t xml:space="preserve">Examples: </w:t>
            </w:r>
            <w:r w:rsidR="00A55EE7" w:rsidRPr="00DD230C">
              <w:rPr>
                <w:rFonts w:asciiTheme="minorHAnsi" w:hAnsiTheme="minorHAnsi" w:cstheme="minorHAnsi"/>
                <w:i/>
                <w:iCs/>
                <w:color w:val="000000"/>
                <w:sz w:val="22"/>
                <w:szCs w:val="22"/>
              </w:rPr>
              <w:t>chlorthalidone, hydrochlorothiazide, indapamide, metolazone</w:t>
            </w:r>
          </w:p>
        </w:tc>
      </w:tr>
      <w:tr w:rsidR="00DA757C" w:rsidRPr="00DD230C" w14:paraId="6AC906E2" w14:textId="77777777" w:rsidTr="00AC7ABD">
        <w:trPr>
          <w:trHeight w:val="583"/>
        </w:trPr>
        <w:tc>
          <w:tcPr>
            <w:tcW w:w="10715" w:type="dxa"/>
            <w:tcBorders>
              <w:top w:val="single" w:sz="8" w:space="0" w:color="000000"/>
              <w:bottom w:val="single" w:sz="8" w:space="0" w:color="000000"/>
            </w:tcBorders>
          </w:tcPr>
          <w:p w14:paraId="493663C7" w14:textId="77777777" w:rsidR="00DA757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Chlorthalidone is preferred on the basis of prolonged half-life and proven trial reduction of CVD.</w:t>
            </w:r>
          </w:p>
          <w:p w14:paraId="48E9D5EE" w14:textId="77777777"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Monitor for hyponatremia and hypokalemia, uric acid and calcium levels.</w:t>
            </w:r>
          </w:p>
          <w:p w14:paraId="478F980D" w14:textId="47421E73"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Use with caution in patients with history of </w:t>
            </w:r>
            <w:r w:rsidR="007C26B6" w:rsidRPr="00DD230C">
              <w:rPr>
                <w:rFonts w:asciiTheme="minorHAnsi" w:hAnsiTheme="minorHAnsi" w:cstheme="minorHAnsi"/>
                <w:color w:val="000000"/>
                <w:sz w:val="22"/>
                <w:szCs w:val="22"/>
              </w:rPr>
              <w:t>acute</w:t>
            </w:r>
            <w:r w:rsidRPr="00DD230C">
              <w:rPr>
                <w:rFonts w:asciiTheme="minorHAnsi" w:hAnsiTheme="minorHAnsi" w:cstheme="minorHAnsi"/>
                <w:color w:val="000000"/>
                <w:sz w:val="22"/>
                <w:szCs w:val="22"/>
              </w:rPr>
              <w:t xml:space="preserve"> gout unless patient is on uric acid-lowering therapy.</w:t>
            </w:r>
          </w:p>
        </w:tc>
      </w:tr>
      <w:tr w:rsidR="00277510" w:rsidRPr="00DD230C" w14:paraId="27FE44A0" w14:textId="77777777" w:rsidTr="008714D0">
        <w:trPr>
          <w:trHeight w:val="126"/>
        </w:trPr>
        <w:tc>
          <w:tcPr>
            <w:tcW w:w="10715" w:type="dxa"/>
            <w:tcBorders>
              <w:top w:val="single" w:sz="8" w:space="0" w:color="000000"/>
              <w:bottom w:val="single" w:sz="8" w:space="0" w:color="000000"/>
            </w:tcBorders>
            <w:shd w:val="clear" w:color="auto" w:fill="D0CECE" w:themeFill="background2" w:themeFillShade="E6"/>
          </w:tcPr>
          <w:p w14:paraId="46130D6E" w14:textId="13144149" w:rsidR="00DA757C" w:rsidRPr="00DD230C" w:rsidRDefault="00A55EE7" w:rsidP="004B028A">
            <w:pPr>
              <w:widowControl w:val="0"/>
              <w:autoSpaceDE w:val="0"/>
              <w:autoSpaceDN w:val="0"/>
              <w:adjustRightInd w:val="0"/>
              <w:spacing w:after="0"/>
              <w:contextualSpacing/>
              <w:jc w:val="center"/>
              <w:rPr>
                <w:rFonts w:asciiTheme="minorHAnsi" w:hAnsiTheme="minorHAnsi" w:cstheme="minorHAnsi"/>
                <w:b/>
                <w:bCs/>
                <w:color w:val="000000"/>
                <w:sz w:val="22"/>
                <w:szCs w:val="22"/>
              </w:rPr>
            </w:pPr>
            <w:r w:rsidRPr="00DD230C">
              <w:rPr>
                <w:rFonts w:asciiTheme="minorHAnsi" w:hAnsiTheme="minorHAnsi" w:cstheme="minorHAnsi"/>
                <w:b/>
                <w:bCs/>
                <w:color w:val="000000"/>
                <w:sz w:val="22"/>
                <w:szCs w:val="22"/>
              </w:rPr>
              <w:t>ACE Inhibitors</w:t>
            </w:r>
          </w:p>
          <w:p w14:paraId="3D19F5FA" w14:textId="1E28F84E" w:rsidR="00FA3259" w:rsidRPr="00DD230C" w:rsidRDefault="00FA3259" w:rsidP="004B028A">
            <w:pPr>
              <w:widowControl w:val="0"/>
              <w:autoSpaceDE w:val="0"/>
              <w:autoSpaceDN w:val="0"/>
              <w:adjustRightInd w:val="0"/>
              <w:spacing w:after="0"/>
              <w:contextualSpacing/>
              <w:rPr>
                <w:rFonts w:asciiTheme="minorHAnsi" w:hAnsiTheme="minorHAnsi" w:cstheme="minorHAnsi"/>
                <w:i/>
                <w:iCs/>
                <w:color w:val="000000"/>
                <w:sz w:val="22"/>
                <w:szCs w:val="22"/>
              </w:rPr>
            </w:pPr>
            <w:r w:rsidRPr="00DD230C">
              <w:rPr>
                <w:rFonts w:asciiTheme="minorHAnsi" w:hAnsiTheme="minorHAnsi" w:cstheme="minorHAnsi"/>
                <w:i/>
                <w:iCs/>
                <w:color w:val="000000"/>
                <w:sz w:val="22"/>
                <w:szCs w:val="22"/>
              </w:rPr>
              <w:t xml:space="preserve">Examples: </w:t>
            </w:r>
            <w:r w:rsidR="00A55EE7" w:rsidRPr="00DD230C">
              <w:rPr>
                <w:rFonts w:asciiTheme="minorHAnsi" w:hAnsiTheme="minorHAnsi" w:cstheme="minorHAnsi"/>
                <w:i/>
                <w:iCs/>
                <w:color w:val="000000"/>
                <w:sz w:val="22"/>
                <w:szCs w:val="22"/>
              </w:rPr>
              <w:t>benazepril, captopril, enalapril, fosinopril, lisinopril, moexipril, perindopril, quinapril, ramipril, trandolapril</w:t>
            </w:r>
          </w:p>
        </w:tc>
      </w:tr>
      <w:tr w:rsidR="00DA757C" w:rsidRPr="00DD230C" w14:paraId="1A7F5454" w14:textId="77777777" w:rsidTr="00AC7ABD">
        <w:trPr>
          <w:trHeight w:val="565"/>
        </w:trPr>
        <w:tc>
          <w:tcPr>
            <w:tcW w:w="10715" w:type="dxa"/>
            <w:tcBorders>
              <w:top w:val="single" w:sz="8" w:space="0" w:color="000000"/>
            </w:tcBorders>
          </w:tcPr>
          <w:p w14:paraId="50217D49" w14:textId="77777777" w:rsidR="00DA757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Do not use in combination with ARBs or direct renin inhibitor.</w:t>
            </w:r>
          </w:p>
          <w:p w14:paraId="5D5182F4" w14:textId="77777777"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There is an increased risk of hyperkalemia, especially in patients with CKD or in those on K+ supplements or K+ sparing drugs.</w:t>
            </w:r>
          </w:p>
          <w:p w14:paraId="61FC172D" w14:textId="77777777"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There is a risk of acute renal failure in patients with severe bilateral renal artery stenosis.</w:t>
            </w:r>
          </w:p>
          <w:p w14:paraId="5E22CE43" w14:textId="77777777"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Do not use if patient has history of angioedema with ACE inhibitors.</w:t>
            </w:r>
          </w:p>
          <w:p w14:paraId="4603CA93" w14:textId="6A8BA82D"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in pregnancy.</w:t>
            </w:r>
          </w:p>
        </w:tc>
      </w:tr>
      <w:tr w:rsidR="00277510" w:rsidRPr="00DD230C" w14:paraId="7280348B" w14:textId="77777777" w:rsidTr="008714D0">
        <w:trPr>
          <w:trHeight w:val="126"/>
        </w:trPr>
        <w:tc>
          <w:tcPr>
            <w:tcW w:w="10715" w:type="dxa"/>
            <w:tcBorders>
              <w:top w:val="single" w:sz="8" w:space="0" w:color="000000"/>
              <w:bottom w:val="single" w:sz="8" w:space="0" w:color="000000"/>
            </w:tcBorders>
            <w:shd w:val="clear" w:color="auto" w:fill="D0CECE" w:themeFill="background2" w:themeFillShade="E6"/>
          </w:tcPr>
          <w:p w14:paraId="431B93DD" w14:textId="44E58533" w:rsidR="00A55EE7" w:rsidRPr="00DD230C" w:rsidRDefault="00A55EE7" w:rsidP="00A55EE7">
            <w:pPr>
              <w:widowControl w:val="0"/>
              <w:autoSpaceDE w:val="0"/>
              <w:autoSpaceDN w:val="0"/>
              <w:adjustRightInd w:val="0"/>
              <w:spacing w:after="0"/>
              <w:contextualSpacing/>
              <w:jc w:val="center"/>
              <w:rPr>
                <w:rFonts w:asciiTheme="minorHAnsi" w:hAnsiTheme="minorHAnsi" w:cstheme="minorHAnsi"/>
                <w:b/>
                <w:bCs/>
                <w:color w:val="000000"/>
                <w:sz w:val="22"/>
                <w:szCs w:val="22"/>
              </w:rPr>
            </w:pPr>
            <w:r w:rsidRPr="00DD230C">
              <w:rPr>
                <w:rFonts w:asciiTheme="minorHAnsi" w:hAnsiTheme="minorHAnsi" w:cstheme="minorHAnsi"/>
                <w:b/>
                <w:bCs/>
                <w:color w:val="000000"/>
                <w:sz w:val="22"/>
                <w:szCs w:val="22"/>
              </w:rPr>
              <w:t>Angiotensin Receptor Blockers</w:t>
            </w:r>
          </w:p>
          <w:p w14:paraId="468EE1FB" w14:textId="2C0B6CA6" w:rsidR="00FA3259" w:rsidRPr="00DD230C" w:rsidRDefault="00FA3259" w:rsidP="004B028A">
            <w:pPr>
              <w:widowControl w:val="0"/>
              <w:autoSpaceDE w:val="0"/>
              <w:autoSpaceDN w:val="0"/>
              <w:adjustRightInd w:val="0"/>
              <w:spacing w:after="0"/>
              <w:contextualSpacing/>
              <w:rPr>
                <w:rFonts w:asciiTheme="minorHAnsi" w:hAnsiTheme="minorHAnsi" w:cstheme="minorHAnsi"/>
                <w:i/>
                <w:iCs/>
                <w:color w:val="000000"/>
                <w:sz w:val="22"/>
                <w:szCs w:val="22"/>
              </w:rPr>
            </w:pPr>
            <w:r w:rsidRPr="00DD230C">
              <w:rPr>
                <w:rFonts w:asciiTheme="minorHAnsi" w:hAnsiTheme="minorHAnsi" w:cstheme="minorHAnsi"/>
                <w:i/>
                <w:iCs/>
                <w:color w:val="000000"/>
                <w:sz w:val="22"/>
                <w:szCs w:val="22"/>
              </w:rPr>
              <w:t xml:space="preserve">Example: </w:t>
            </w:r>
            <w:r w:rsidR="00A55EE7" w:rsidRPr="00DD230C">
              <w:rPr>
                <w:rFonts w:asciiTheme="minorHAnsi" w:hAnsiTheme="minorHAnsi" w:cstheme="minorHAnsi"/>
                <w:i/>
                <w:iCs/>
                <w:color w:val="000000"/>
                <w:sz w:val="22"/>
                <w:szCs w:val="22"/>
              </w:rPr>
              <w:t>azilsartan, candesartan, eprosartan, irbesartan, losartan, Olmesartan, telmisartan, valsartan</w:t>
            </w:r>
          </w:p>
        </w:tc>
      </w:tr>
      <w:tr w:rsidR="00FA3259" w:rsidRPr="00DD230C" w14:paraId="2DC5A3C0" w14:textId="77777777" w:rsidTr="008714D0">
        <w:trPr>
          <w:trHeight w:val="603"/>
        </w:trPr>
        <w:tc>
          <w:tcPr>
            <w:tcW w:w="10715" w:type="dxa"/>
            <w:tcBorders>
              <w:top w:val="single" w:sz="8" w:space="0" w:color="000000"/>
              <w:bottom w:val="single" w:sz="8" w:space="0" w:color="000000"/>
            </w:tcBorders>
          </w:tcPr>
          <w:p w14:paraId="57776EC3" w14:textId="3EEB6DDA" w:rsidR="00C00A2C" w:rsidRPr="00DD230C" w:rsidRDefault="00C00A2C" w:rsidP="00C00A2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Do not use in combination with </w:t>
            </w:r>
            <w:r w:rsidR="00E30AC0" w:rsidRPr="00DD230C">
              <w:rPr>
                <w:rFonts w:asciiTheme="minorHAnsi" w:hAnsiTheme="minorHAnsi" w:cstheme="minorHAnsi"/>
                <w:color w:val="000000"/>
                <w:sz w:val="22"/>
                <w:szCs w:val="22"/>
              </w:rPr>
              <w:t>ACE in</w:t>
            </w:r>
            <w:r w:rsidR="007C26B6">
              <w:rPr>
                <w:rFonts w:asciiTheme="minorHAnsi" w:hAnsiTheme="minorHAnsi" w:cstheme="minorHAnsi"/>
                <w:color w:val="000000"/>
                <w:sz w:val="22"/>
                <w:szCs w:val="22"/>
              </w:rPr>
              <w:t>h</w:t>
            </w:r>
            <w:r w:rsidR="00E30AC0" w:rsidRPr="00DD230C">
              <w:rPr>
                <w:rFonts w:asciiTheme="minorHAnsi" w:hAnsiTheme="minorHAnsi" w:cstheme="minorHAnsi"/>
                <w:color w:val="000000"/>
                <w:sz w:val="22"/>
                <w:szCs w:val="22"/>
              </w:rPr>
              <w:t>ibitors</w:t>
            </w:r>
            <w:r w:rsidRPr="00DD230C">
              <w:rPr>
                <w:rFonts w:asciiTheme="minorHAnsi" w:hAnsiTheme="minorHAnsi" w:cstheme="minorHAnsi"/>
                <w:color w:val="000000"/>
                <w:sz w:val="22"/>
                <w:szCs w:val="22"/>
              </w:rPr>
              <w:t xml:space="preserve"> or direct renin inhibitor.</w:t>
            </w:r>
          </w:p>
          <w:p w14:paraId="1BE124B4" w14:textId="77777777" w:rsidR="00C00A2C" w:rsidRPr="00DD230C" w:rsidRDefault="00C00A2C" w:rsidP="00C00A2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There is an increased risk of hyperkalemia, especially in patients with CKD or in those on K+ supplements or K+ sparing drugs.</w:t>
            </w:r>
          </w:p>
          <w:p w14:paraId="2749DC84" w14:textId="77777777" w:rsidR="00C00A2C" w:rsidRPr="00DD230C" w:rsidRDefault="00C00A2C" w:rsidP="00C00A2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There is a risk of acute renal failure in patients with severe bilateral renal artery stenosis.</w:t>
            </w:r>
          </w:p>
          <w:p w14:paraId="579D8699" w14:textId="77777777" w:rsidR="00C00A2C" w:rsidRPr="00DD230C" w:rsidRDefault="00C00A2C" w:rsidP="00C00A2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Do not use if patient has history of angioedema with ACE inhibitors.</w:t>
            </w:r>
          </w:p>
          <w:p w14:paraId="6F0BABAB" w14:textId="514182D5" w:rsidR="00FA3259" w:rsidRPr="00DD230C" w:rsidRDefault="00C00A2C" w:rsidP="00C00A2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in pregnancy.</w:t>
            </w:r>
          </w:p>
        </w:tc>
      </w:tr>
      <w:tr w:rsidR="00277510" w:rsidRPr="00DD230C" w14:paraId="1D0FB427" w14:textId="77777777" w:rsidTr="008714D0">
        <w:trPr>
          <w:trHeight w:val="297"/>
        </w:trPr>
        <w:tc>
          <w:tcPr>
            <w:tcW w:w="10715" w:type="dxa"/>
            <w:tcBorders>
              <w:top w:val="single" w:sz="8" w:space="0" w:color="000000"/>
              <w:bottom w:val="single" w:sz="8" w:space="0" w:color="000000"/>
            </w:tcBorders>
            <w:shd w:val="clear" w:color="auto" w:fill="D0CECE" w:themeFill="background2" w:themeFillShade="E6"/>
          </w:tcPr>
          <w:p w14:paraId="36EAF42B" w14:textId="37262041" w:rsidR="00277510" w:rsidRPr="00DD230C" w:rsidRDefault="00A55EE7" w:rsidP="004B028A">
            <w:pPr>
              <w:widowControl w:val="0"/>
              <w:autoSpaceDE w:val="0"/>
              <w:autoSpaceDN w:val="0"/>
              <w:adjustRightInd w:val="0"/>
              <w:spacing w:after="0"/>
              <w:contextualSpacing/>
              <w:jc w:val="center"/>
              <w:rPr>
                <w:rFonts w:asciiTheme="minorHAnsi" w:hAnsiTheme="minorHAnsi" w:cstheme="minorHAnsi"/>
                <w:b/>
                <w:color w:val="000000"/>
                <w:sz w:val="22"/>
                <w:szCs w:val="22"/>
              </w:rPr>
            </w:pPr>
            <w:r w:rsidRPr="00DD230C">
              <w:rPr>
                <w:rFonts w:asciiTheme="minorHAnsi" w:hAnsiTheme="minorHAnsi" w:cstheme="minorHAnsi"/>
                <w:b/>
                <w:color w:val="000000"/>
                <w:sz w:val="22"/>
                <w:szCs w:val="22"/>
              </w:rPr>
              <w:t>Calcium Channel Blockers - Dihydropyridines</w:t>
            </w:r>
          </w:p>
          <w:p w14:paraId="1227D47F" w14:textId="69750ECF" w:rsidR="00FA3259" w:rsidRPr="00DD230C" w:rsidRDefault="00FA3259" w:rsidP="004B028A">
            <w:pPr>
              <w:widowControl w:val="0"/>
              <w:autoSpaceDE w:val="0"/>
              <w:autoSpaceDN w:val="0"/>
              <w:adjustRightInd w:val="0"/>
              <w:spacing w:after="0"/>
              <w:contextualSpacing/>
              <w:rPr>
                <w:rFonts w:asciiTheme="minorHAnsi" w:hAnsiTheme="minorHAnsi" w:cstheme="minorHAnsi"/>
                <w:bCs/>
                <w:i/>
                <w:iCs/>
                <w:color w:val="000000"/>
                <w:sz w:val="22"/>
                <w:szCs w:val="22"/>
              </w:rPr>
            </w:pPr>
            <w:r w:rsidRPr="00DD230C">
              <w:rPr>
                <w:rFonts w:asciiTheme="minorHAnsi" w:hAnsiTheme="minorHAnsi" w:cstheme="minorHAnsi"/>
                <w:bCs/>
                <w:i/>
                <w:iCs/>
                <w:color w:val="000000"/>
                <w:sz w:val="22"/>
                <w:szCs w:val="22"/>
              </w:rPr>
              <w:t xml:space="preserve">Examples: </w:t>
            </w:r>
            <w:r w:rsidR="00A55EE7" w:rsidRPr="00DD230C">
              <w:rPr>
                <w:rFonts w:asciiTheme="minorHAnsi" w:hAnsiTheme="minorHAnsi" w:cstheme="minorHAnsi"/>
                <w:bCs/>
                <w:i/>
                <w:iCs/>
                <w:color w:val="000000"/>
                <w:sz w:val="22"/>
                <w:szCs w:val="22"/>
              </w:rPr>
              <w:t>amlodipine, felodipine, isradipine, nicardipine SR, nifedipine LA, nisoldipine</w:t>
            </w:r>
          </w:p>
        </w:tc>
      </w:tr>
      <w:tr w:rsidR="0059079C" w:rsidRPr="00DD230C" w14:paraId="50281BDB" w14:textId="77777777" w:rsidTr="00AC7ABD">
        <w:trPr>
          <w:trHeight w:val="583"/>
        </w:trPr>
        <w:tc>
          <w:tcPr>
            <w:tcW w:w="10715" w:type="dxa"/>
            <w:tcBorders>
              <w:top w:val="single" w:sz="8" w:space="0" w:color="000000"/>
            </w:tcBorders>
          </w:tcPr>
          <w:p w14:paraId="1FC68C14" w14:textId="77777777" w:rsidR="0059079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use in patients with HFrEF; amlodipine or felodipine may be used if required.</w:t>
            </w:r>
          </w:p>
          <w:p w14:paraId="6A8374E3" w14:textId="4C58F065"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May cause dose-related pedal edema; this is more common in women than men.</w:t>
            </w:r>
          </w:p>
        </w:tc>
      </w:tr>
      <w:tr w:rsidR="00277510" w:rsidRPr="00DD230C" w14:paraId="0B8B8F10" w14:textId="77777777" w:rsidTr="008714D0">
        <w:trPr>
          <w:trHeight w:val="270"/>
        </w:trPr>
        <w:tc>
          <w:tcPr>
            <w:tcW w:w="10715" w:type="dxa"/>
            <w:tcBorders>
              <w:top w:val="single" w:sz="8" w:space="0" w:color="000000"/>
              <w:bottom w:val="single" w:sz="8" w:space="0" w:color="000000"/>
            </w:tcBorders>
            <w:shd w:val="clear" w:color="auto" w:fill="D0CECE" w:themeFill="background2" w:themeFillShade="E6"/>
            <w:vAlign w:val="center"/>
          </w:tcPr>
          <w:p w14:paraId="1CCDAE77" w14:textId="457CE131" w:rsidR="00277510" w:rsidRPr="00DD230C" w:rsidRDefault="00A55EE7" w:rsidP="004B028A">
            <w:pPr>
              <w:widowControl w:val="0"/>
              <w:autoSpaceDE w:val="0"/>
              <w:autoSpaceDN w:val="0"/>
              <w:adjustRightInd w:val="0"/>
              <w:spacing w:after="0"/>
              <w:contextualSpacing/>
              <w:jc w:val="center"/>
              <w:rPr>
                <w:rFonts w:asciiTheme="minorHAnsi" w:hAnsiTheme="minorHAnsi" w:cstheme="minorHAnsi"/>
                <w:b/>
                <w:color w:val="000000"/>
                <w:sz w:val="22"/>
                <w:szCs w:val="22"/>
              </w:rPr>
            </w:pPr>
            <w:r w:rsidRPr="00DD230C">
              <w:rPr>
                <w:rFonts w:asciiTheme="minorHAnsi" w:hAnsiTheme="minorHAnsi" w:cstheme="minorHAnsi"/>
                <w:b/>
                <w:color w:val="000000"/>
                <w:sz w:val="22"/>
                <w:szCs w:val="22"/>
              </w:rPr>
              <w:t>Calcium Channel Blockers – Non-</w:t>
            </w:r>
            <w:r w:rsidR="004E0514" w:rsidRPr="00DD230C">
              <w:rPr>
                <w:rFonts w:asciiTheme="minorHAnsi" w:hAnsiTheme="minorHAnsi" w:cstheme="minorHAnsi"/>
                <w:b/>
                <w:color w:val="000000"/>
                <w:sz w:val="22"/>
                <w:szCs w:val="22"/>
              </w:rPr>
              <w:t>dihydropyridines</w:t>
            </w:r>
          </w:p>
          <w:p w14:paraId="419BA812" w14:textId="5FC4E255" w:rsidR="00BD108E" w:rsidRPr="00DD230C" w:rsidRDefault="00BD108E" w:rsidP="004B028A">
            <w:pPr>
              <w:widowControl w:val="0"/>
              <w:autoSpaceDE w:val="0"/>
              <w:autoSpaceDN w:val="0"/>
              <w:adjustRightInd w:val="0"/>
              <w:spacing w:after="0"/>
              <w:contextualSpacing/>
              <w:rPr>
                <w:rFonts w:asciiTheme="minorHAnsi" w:hAnsiTheme="minorHAnsi" w:cstheme="minorHAnsi"/>
                <w:bCs/>
                <w:i/>
                <w:iCs/>
                <w:color w:val="000000"/>
                <w:sz w:val="22"/>
                <w:szCs w:val="22"/>
              </w:rPr>
            </w:pPr>
            <w:r w:rsidRPr="00DD230C">
              <w:rPr>
                <w:rFonts w:asciiTheme="minorHAnsi" w:hAnsiTheme="minorHAnsi" w:cstheme="minorHAnsi"/>
                <w:bCs/>
                <w:i/>
                <w:iCs/>
                <w:color w:val="000000"/>
                <w:sz w:val="22"/>
                <w:szCs w:val="22"/>
              </w:rPr>
              <w:t xml:space="preserve">Examples: </w:t>
            </w:r>
            <w:r w:rsidR="00A55EE7" w:rsidRPr="00DD230C">
              <w:rPr>
                <w:rFonts w:asciiTheme="minorHAnsi" w:hAnsiTheme="minorHAnsi" w:cstheme="minorHAnsi"/>
                <w:bCs/>
                <w:i/>
                <w:iCs/>
                <w:color w:val="000000"/>
                <w:sz w:val="22"/>
                <w:szCs w:val="22"/>
              </w:rPr>
              <w:t>diltiazem, verapamil</w:t>
            </w:r>
          </w:p>
        </w:tc>
      </w:tr>
      <w:tr w:rsidR="00BD108E" w:rsidRPr="00DD230C" w14:paraId="207D0C25" w14:textId="77777777" w:rsidTr="00AF518F">
        <w:trPr>
          <w:trHeight w:val="619"/>
        </w:trPr>
        <w:tc>
          <w:tcPr>
            <w:tcW w:w="10715" w:type="dxa"/>
            <w:tcBorders>
              <w:top w:val="single" w:sz="8" w:space="0" w:color="000000"/>
            </w:tcBorders>
          </w:tcPr>
          <w:p w14:paraId="0E94B14E" w14:textId="77777777" w:rsidR="00BD108E" w:rsidRPr="00DD230C" w:rsidRDefault="00C00A2C" w:rsidP="00A55EE7">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routine use with beta blockers because of increased risk of bradycardia and heart block.</w:t>
            </w:r>
          </w:p>
          <w:p w14:paraId="341E98B5" w14:textId="77777777" w:rsidR="00C00A2C" w:rsidRPr="00DD230C" w:rsidRDefault="00C00A2C" w:rsidP="00A55EE7">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Do not use in patients with HFrEF.</w:t>
            </w:r>
          </w:p>
          <w:p w14:paraId="75999885" w14:textId="2F40F40B" w:rsidR="00C11017" w:rsidRPr="00DD230C" w:rsidRDefault="00C11017" w:rsidP="00A55EE7">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Major drug interactions exist with diltiazem and verapamil (CYP3A4 major substrate and moderate inhibitor).</w:t>
            </w:r>
          </w:p>
        </w:tc>
      </w:tr>
      <w:tr w:rsidR="00E30AC0" w:rsidRPr="00DD230C" w14:paraId="7DF8B52E" w14:textId="77777777" w:rsidTr="008714D0">
        <w:trPr>
          <w:trHeight w:val="402"/>
        </w:trPr>
        <w:tc>
          <w:tcPr>
            <w:tcW w:w="10715" w:type="dxa"/>
            <w:tcBorders>
              <w:top w:val="single" w:sz="8" w:space="0" w:color="000000"/>
              <w:bottom w:val="single" w:sz="8" w:space="0" w:color="000000"/>
            </w:tcBorders>
            <w:shd w:val="clear" w:color="auto" w:fill="D0CECE" w:themeFill="background2" w:themeFillShade="E6"/>
          </w:tcPr>
          <w:p w14:paraId="526A3A7F" w14:textId="32BCBEB5" w:rsidR="00E30AC0" w:rsidRPr="00DD230C" w:rsidRDefault="00E30AC0" w:rsidP="00E30AC0">
            <w:pPr>
              <w:widowControl w:val="0"/>
              <w:shd w:val="clear" w:color="auto" w:fill="D0CECE" w:themeFill="background2" w:themeFillShade="E6"/>
              <w:autoSpaceDE w:val="0"/>
              <w:autoSpaceDN w:val="0"/>
              <w:adjustRightInd w:val="0"/>
              <w:spacing w:after="0"/>
              <w:contextualSpacing/>
              <w:jc w:val="center"/>
              <w:rPr>
                <w:rFonts w:asciiTheme="minorHAnsi" w:hAnsiTheme="minorHAnsi" w:cstheme="minorHAnsi"/>
                <w:b/>
                <w:bCs/>
                <w:color w:val="000000"/>
                <w:sz w:val="22"/>
                <w:szCs w:val="22"/>
              </w:rPr>
            </w:pPr>
            <w:r w:rsidRPr="00DD230C">
              <w:rPr>
                <w:rFonts w:asciiTheme="minorHAnsi" w:hAnsiTheme="minorHAnsi" w:cstheme="minorHAnsi"/>
                <w:b/>
                <w:bCs/>
                <w:color w:val="000000"/>
                <w:sz w:val="22"/>
                <w:szCs w:val="22"/>
              </w:rPr>
              <w:t>Direct renin inhibitor</w:t>
            </w:r>
          </w:p>
          <w:p w14:paraId="0470FF24" w14:textId="5C1B2D3F" w:rsidR="00E30AC0" w:rsidRPr="00DD230C" w:rsidRDefault="00E30AC0" w:rsidP="00E30AC0">
            <w:pPr>
              <w:widowControl w:val="0"/>
              <w:shd w:val="clear" w:color="auto" w:fill="D0CECE" w:themeFill="background2" w:themeFillShade="E6"/>
              <w:autoSpaceDE w:val="0"/>
              <w:autoSpaceDN w:val="0"/>
              <w:adjustRightInd w:val="0"/>
              <w:spacing w:after="0"/>
              <w:contextualSpacing/>
              <w:rPr>
                <w:rFonts w:asciiTheme="minorHAnsi" w:hAnsiTheme="minorHAnsi" w:cstheme="minorHAnsi"/>
                <w:b/>
                <w:bCs/>
                <w:color w:val="000000"/>
                <w:sz w:val="22"/>
                <w:szCs w:val="22"/>
              </w:rPr>
            </w:pPr>
            <w:r w:rsidRPr="00DD230C">
              <w:rPr>
                <w:rFonts w:asciiTheme="minorHAnsi" w:hAnsiTheme="minorHAnsi" w:cstheme="minorHAnsi"/>
                <w:i/>
                <w:iCs/>
                <w:color w:val="000000"/>
                <w:sz w:val="22"/>
                <w:szCs w:val="22"/>
              </w:rPr>
              <w:t>Example: aliskiren</w:t>
            </w:r>
          </w:p>
        </w:tc>
      </w:tr>
      <w:tr w:rsidR="00E30AC0" w:rsidRPr="00DD230C" w14:paraId="44461402" w14:textId="77777777" w:rsidTr="00E30AC0">
        <w:trPr>
          <w:trHeight w:val="402"/>
        </w:trPr>
        <w:tc>
          <w:tcPr>
            <w:tcW w:w="10715" w:type="dxa"/>
            <w:tcBorders>
              <w:top w:val="single" w:sz="8" w:space="0" w:color="000000"/>
              <w:bottom w:val="single" w:sz="8" w:space="0" w:color="000000"/>
            </w:tcBorders>
            <w:shd w:val="clear" w:color="auto" w:fill="FFFFFF" w:themeFill="background1"/>
          </w:tcPr>
          <w:p w14:paraId="3D1662C9" w14:textId="1EA6C14B" w:rsidR="00E30AC0" w:rsidRPr="00DD230C" w:rsidRDefault="00E30AC0" w:rsidP="00E30AC0">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Do not use in combination with ACE inhibitors or ARBs.</w:t>
            </w:r>
          </w:p>
          <w:p w14:paraId="1ED885F9" w14:textId="77777777" w:rsidR="00E30AC0" w:rsidRPr="00DD230C" w:rsidRDefault="00E30AC0" w:rsidP="00E30AC0">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There is an increased risk of hyperkalemia, especially in patients with CKD or in those on K+ supplements or K+ sparing drugs.</w:t>
            </w:r>
          </w:p>
          <w:p w14:paraId="739869D6" w14:textId="1599BDEA" w:rsidR="00E30AC0" w:rsidRPr="00DD230C" w:rsidRDefault="00E30AC0" w:rsidP="00E30AC0">
            <w:pPr>
              <w:widowControl w:val="0"/>
              <w:shd w:val="clear" w:color="auto" w:fill="FFFFFF" w:themeFill="background1"/>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Aliskiren may cause acute renal failure in patients with severe bilateral renal artery stenosis.</w:t>
            </w:r>
          </w:p>
          <w:p w14:paraId="78287CBB" w14:textId="47321719" w:rsidR="00E30AC0" w:rsidRPr="00DD230C" w:rsidRDefault="00E30AC0" w:rsidP="00E30AC0">
            <w:pPr>
              <w:widowControl w:val="0"/>
              <w:shd w:val="clear" w:color="auto" w:fill="FFFFFF" w:themeFill="background1"/>
              <w:autoSpaceDE w:val="0"/>
              <w:autoSpaceDN w:val="0"/>
              <w:adjustRightInd w:val="0"/>
              <w:spacing w:after="0"/>
              <w:contextualSpacing/>
              <w:rPr>
                <w:rFonts w:asciiTheme="minorHAnsi" w:hAnsiTheme="minorHAnsi" w:cstheme="minorHAnsi"/>
                <w:b/>
                <w:bCs/>
                <w:color w:val="000000"/>
                <w:sz w:val="22"/>
                <w:szCs w:val="22"/>
              </w:rPr>
            </w:pPr>
            <w:r w:rsidRPr="00DD230C">
              <w:rPr>
                <w:rFonts w:asciiTheme="minorHAnsi" w:hAnsiTheme="minorHAnsi" w:cstheme="minorHAnsi"/>
                <w:color w:val="000000"/>
                <w:sz w:val="22"/>
                <w:szCs w:val="22"/>
              </w:rPr>
              <w:t>Avoid in pregnancy.</w:t>
            </w:r>
          </w:p>
        </w:tc>
      </w:tr>
      <w:tr w:rsidR="00BD108E" w:rsidRPr="00DD230C" w14:paraId="36D737B8" w14:textId="77777777" w:rsidTr="008714D0">
        <w:trPr>
          <w:trHeight w:val="402"/>
        </w:trPr>
        <w:tc>
          <w:tcPr>
            <w:tcW w:w="10715" w:type="dxa"/>
            <w:tcBorders>
              <w:top w:val="single" w:sz="8" w:space="0" w:color="000000"/>
              <w:bottom w:val="single" w:sz="8" w:space="0" w:color="000000"/>
            </w:tcBorders>
            <w:shd w:val="clear" w:color="auto" w:fill="D0CECE" w:themeFill="background2" w:themeFillShade="E6"/>
          </w:tcPr>
          <w:p w14:paraId="43952D8A" w14:textId="03B6A122" w:rsidR="00BD108E" w:rsidRPr="00DD230C" w:rsidRDefault="004E0514" w:rsidP="004B028A">
            <w:pPr>
              <w:widowControl w:val="0"/>
              <w:shd w:val="clear" w:color="auto" w:fill="D0CECE" w:themeFill="background2" w:themeFillShade="E6"/>
              <w:autoSpaceDE w:val="0"/>
              <w:autoSpaceDN w:val="0"/>
              <w:adjustRightInd w:val="0"/>
              <w:spacing w:after="0"/>
              <w:contextualSpacing/>
              <w:jc w:val="center"/>
              <w:rPr>
                <w:rFonts w:asciiTheme="minorHAnsi" w:hAnsiTheme="minorHAnsi" w:cstheme="minorHAnsi"/>
                <w:b/>
                <w:bCs/>
                <w:color w:val="000000"/>
                <w:sz w:val="22"/>
                <w:szCs w:val="22"/>
              </w:rPr>
            </w:pPr>
            <w:r w:rsidRPr="00DD230C">
              <w:rPr>
                <w:rFonts w:asciiTheme="minorHAnsi" w:hAnsiTheme="minorHAnsi" w:cstheme="minorHAnsi"/>
                <w:b/>
                <w:bCs/>
                <w:color w:val="000000"/>
                <w:sz w:val="22"/>
                <w:szCs w:val="22"/>
              </w:rPr>
              <w:t>Diuretics - Loop</w:t>
            </w:r>
          </w:p>
          <w:p w14:paraId="46FB6ED2" w14:textId="5E3EAAD2" w:rsidR="00BD108E" w:rsidRPr="00DD230C" w:rsidRDefault="00BD108E" w:rsidP="004B028A">
            <w:pPr>
              <w:widowControl w:val="0"/>
              <w:autoSpaceDE w:val="0"/>
              <w:autoSpaceDN w:val="0"/>
              <w:adjustRightInd w:val="0"/>
              <w:spacing w:after="0"/>
              <w:contextualSpacing/>
              <w:rPr>
                <w:rFonts w:asciiTheme="minorHAnsi" w:hAnsiTheme="minorHAnsi" w:cstheme="minorHAnsi"/>
                <w:i/>
                <w:iCs/>
                <w:color w:val="000000"/>
                <w:sz w:val="22"/>
                <w:szCs w:val="22"/>
              </w:rPr>
            </w:pPr>
            <w:r w:rsidRPr="00DD230C">
              <w:rPr>
                <w:rFonts w:asciiTheme="minorHAnsi" w:hAnsiTheme="minorHAnsi" w:cstheme="minorHAnsi"/>
                <w:i/>
                <w:iCs/>
                <w:color w:val="000000"/>
                <w:sz w:val="22"/>
                <w:szCs w:val="22"/>
              </w:rPr>
              <w:t xml:space="preserve">Example: </w:t>
            </w:r>
            <w:r w:rsidR="004E0514" w:rsidRPr="00DD230C">
              <w:rPr>
                <w:rFonts w:asciiTheme="minorHAnsi" w:hAnsiTheme="minorHAnsi" w:cstheme="minorHAnsi"/>
                <w:i/>
                <w:iCs/>
                <w:color w:val="000000"/>
                <w:sz w:val="22"/>
                <w:szCs w:val="22"/>
              </w:rPr>
              <w:t>bumetanide, furosemide, torsemide</w:t>
            </w:r>
          </w:p>
        </w:tc>
      </w:tr>
      <w:tr w:rsidR="001F317C" w:rsidRPr="00DD230C" w14:paraId="16ED8527" w14:textId="77777777" w:rsidTr="00AC7ABD">
        <w:trPr>
          <w:trHeight w:val="583"/>
        </w:trPr>
        <w:tc>
          <w:tcPr>
            <w:tcW w:w="10715" w:type="dxa"/>
            <w:tcBorders>
              <w:top w:val="single" w:sz="8" w:space="0" w:color="000000"/>
              <w:bottom w:val="single" w:sz="8" w:space="0" w:color="000000"/>
            </w:tcBorders>
          </w:tcPr>
          <w:p w14:paraId="0CC64289" w14:textId="77777777" w:rsidR="001F317C"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Preferred diuretics in patients with symptomatic heart failure.</w:t>
            </w:r>
          </w:p>
          <w:p w14:paraId="12DBD7AB" w14:textId="7A01553E" w:rsidR="00C11017"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Preferred diuretics over thiazides in patients with moderate-to-severe CKD (e.g. eGFR &lt; 30 mL/min).</w:t>
            </w:r>
          </w:p>
        </w:tc>
      </w:tr>
      <w:tr w:rsidR="00277510" w:rsidRPr="00DD230C" w14:paraId="7C0D399E"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715" w:type="dxa"/>
            <w:shd w:val="clear" w:color="auto" w:fill="D0CECE" w:themeFill="background2" w:themeFillShade="E6"/>
            <w:vAlign w:val="center"/>
          </w:tcPr>
          <w:p w14:paraId="0EF2EA75" w14:textId="26E43732" w:rsidR="00277510" w:rsidRPr="00DD230C" w:rsidRDefault="004E0514" w:rsidP="004B028A">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lastRenderedPageBreak/>
              <w:t xml:space="preserve">Diuretics – </w:t>
            </w:r>
            <w:r w:rsidR="00C11017" w:rsidRPr="00DD230C">
              <w:rPr>
                <w:rFonts w:asciiTheme="minorHAnsi" w:eastAsia="MS Mincho" w:hAnsiTheme="minorHAnsi" w:cstheme="minorHAnsi"/>
                <w:b/>
                <w:bCs/>
                <w:sz w:val="22"/>
                <w:szCs w:val="22"/>
              </w:rPr>
              <w:t>Aldosterone Antagonists</w:t>
            </w:r>
          </w:p>
          <w:p w14:paraId="4AD8D918" w14:textId="4B739F3B" w:rsidR="001F317C" w:rsidRPr="00DD230C" w:rsidRDefault="001F317C" w:rsidP="004B028A">
            <w:pPr>
              <w:spacing w:after="0"/>
              <w:contextualSpacing/>
              <w:rPr>
                <w:rFonts w:asciiTheme="minorHAnsi" w:hAnsiTheme="minorHAnsi" w:cstheme="minorHAnsi"/>
                <w:i/>
                <w:iCs/>
                <w:sz w:val="22"/>
                <w:szCs w:val="22"/>
              </w:rPr>
            </w:pPr>
            <w:r w:rsidRPr="00DD230C">
              <w:rPr>
                <w:rFonts w:asciiTheme="minorHAnsi" w:eastAsia="MS Mincho" w:hAnsiTheme="minorHAnsi" w:cstheme="minorHAnsi"/>
                <w:i/>
                <w:iCs/>
                <w:sz w:val="22"/>
                <w:szCs w:val="22"/>
              </w:rPr>
              <w:t xml:space="preserve">Examples: </w:t>
            </w:r>
            <w:r w:rsidR="004E0514" w:rsidRPr="00DD230C">
              <w:rPr>
                <w:rFonts w:asciiTheme="minorHAnsi" w:eastAsia="MS Mincho" w:hAnsiTheme="minorHAnsi" w:cstheme="minorHAnsi"/>
                <w:i/>
                <w:iCs/>
                <w:sz w:val="22"/>
                <w:szCs w:val="22"/>
              </w:rPr>
              <w:t>eplerenone, spironolactone</w:t>
            </w:r>
          </w:p>
        </w:tc>
      </w:tr>
      <w:tr w:rsidR="001F317C" w:rsidRPr="00DD230C" w14:paraId="44BA1FD9" w14:textId="77777777" w:rsidTr="00AC7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trPr>
        <w:tc>
          <w:tcPr>
            <w:tcW w:w="10715" w:type="dxa"/>
          </w:tcPr>
          <w:p w14:paraId="667D357C" w14:textId="77777777" w:rsidR="001F317C"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Preferred agents in primary aldosteronism and resistant hypertension.</w:t>
            </w:r>
          </w:p>
          <w:p w14:paraId="01112F30" w14:textId="77777777" w:rsidR="00C11017"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Spironolactone is associated with greater risk of gynecomastia and impotence as compared with eplerenone.</w:t>
            </w:r>
          </w:p>
          <w:p w14:paraId="52C40329" w14:textId="29336FC1" w:rsidR="00C11017"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use with K+ supplements, other K+ sparing diuretics, or significant renal dysfunction.</w:t>
            </w:r>
          </w:p>
        </w:tc>
      </w:tr>
      <w:tr w:rsidR="004E0514" w:rsidRPr="00DD230C" w14:paraId="327CF6D8"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0"/>
        </w:trPr>
        <w:tc>
          <w:tcPr>
            <w:tcW w:w="10715" w:type="dxa"/>
            <w:shd w:val="clear" w:color="auto" w:fill="BFBFBF" w:themeFill="background1" w:themeFillShade="BF"/>
          </w:tcPr>
          <w:p w14:paraId="65899EAB" w14:textId="69F0769A" w:rsidR="004E0514" w:rsidRPr="00DD230C" w:rsidRDefault="004E0514" w:rsidP="004E0514">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t>Diuretics – Potassium Sparing</w:t>
            </w:r>
          </w:p>
          <w:p w14:paraId="0B03F93B" w14:textId="56397EFC" w:rsidR="004E0514" w:rsidRPr="00DD230C" w:rsidRDefault="004E0514"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eastAsia="MS Mincho" w:hAnsiTheme="minorHAnsi" w:cstheme="minorHAnsi"/>
                <w:i/>
                <w:iCs/>
                <w:sz w:val="22"/>
                <w:szCs w:val="22"/>
              </w:rPr>
              <w:t>Examples: amiloride, triamterene</w:t>
            </w:r>
          </w:p>
        </w:tc>
      </w:tr>
      <w:tr w:rsidR="004E0514" w:rsidRPr="00DD230C" w14:paraId="44855A9E" w14:textId="77777777" w:rsidTr="00E30A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50"/>
        </w:trPr>
        <w:tc>
          <w:tcPr>
            <w:tcW w:w="10715" w:type="dxa"/>
          </w:tcPr>
          <w:p w14:paraId="161A0463" w14:textId="77777777" w:rsidR="004E0514"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Monotherapy agents are minimally effective as antihypertensives. Use in combination with a thiazide can be considered in patients with hypokalemia on thiazide monotherapy.</w:t>
            </w:r>
          </w:p>
          <w:p w14:paraId="1F77730C" w14:textId="1219F379" w:rsidR="00C11017"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in patients with significant CKD (e.g. eGFR &lt;45 mL/min).</w:t>
            </w:r>
          </w:p>
        </w:tc>
      </w:tr>
      <w:tr w:rsidR="004E0514" w:rsidRPr="00DD230C" w14:paraId="1D338350"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6"/>
        </w:trPr>
        <w:tc>
          <w:tcPr>
            <w:tcW w:w="10715" w:type="dxa"/>
            <w:shd w:val="clear" w:color="auto" w:fill="BFBFBF" w:themeFill="background1" w:themeFillShade="BF"/>
          </w:tcPr>
          <w:p w14:paraId="28270662" w14:textId="60F05F28" w:rsidR="004E0514" w:rsidRPr="00DD230C" w:rsidRDefault="004E0514" w:rsidP="004E0514">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t>Beta Blockers</w:t>
            </w:r>
          </w:p>
          <w:p w14:paraId="480C5C08" w14:textId="0715DFF9" w:rsidR="004E0514" w:rsidRPr="00DD230C" w:rsidRDefault="004E0514"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eastAsia="MS Mincho" w:hAnsiTheme="minorHAnsi" w:cstheme="minorHAnsi"/>
                <w:i/>
                <w:iCs/>
                <w:sz w:val="22"/>
                <w:szCs w:val="22"/>
              </w:rPr>
              <w:t>Examples:</w:t>
            </w:r>
            <w:r w:rsidR="00C11017" w:rsidRPr="00DD230C">
              <w:rPr>
                <w:rFonts w:asciiTheme="minorHAnsi" w:eastAsia="MS Mincho" w:hAnsiTheme="minorHAnsi" w:cstheme="minorHAnsi"/>
                <w:i/>
                <w:iCs/>
                <w:sz w:val="22"/>
                <w:szCs w:val="22"/>
              </w:rPr>
              <w:t xml:space="preserve"> acebutolol,</w:t>
            </w:r>
            <w:r w:rsidRPr="00DD230C">
              <w:rPr>
                <w:rFonts w:asciiTheme="minorHAnsi" w:eastAsia="MS Mincho" w:hAnsiTheme="minorHAnsi" w:cstheme="minorHAnsi"/>
                <w:i/>
                <w:iCs/>
                <w:sz w:val="22"/>
                <w:szCs w:val="22"/>
              </w:rPr>
              <w:t xml:space="preserve"> atenolol,</w:t>
            </w:r>
            <w:r w:rsidR="00C11017" w:rsidRPr="00DD230C">
              <w:rPr>
                <w:rFonts w:asciiTheme="minorHAnsi" w:eastAsia="MS Mincho" w:hAnsiTheme="minorHAnsi" w:cstheme="minorHAnsi"/>
                <w:i/>
                <w:iCs/>
                <w:sz w:val="22"/>
                <w:szCs w:val="22"/>
              </w:rPr>
              <w:t xml:space="preserve"> betaxolol,</w:t>
            </w:r>
            <w:r w:rsidRPr="00DD230C">
              <w:rPr>
                <w:rFonts w:asciiTheme="minorHAnsi" w:eastAsia="MS Mincho" w:hAnsiTheme="minorHAnsi" w:cstheme="minorHAnsi"/>
                <w:i/>
                <w:iCs/>
                <w:sz w:val="22"/>
                <w:szCs w:val="22"/>
              </w:rPr>
              <w:t xml:space="preserve"> bisoprolol, carvedilol, labetalol, metoprolol,</w:t>
            </w:r>
            <w:r w:rsidR="00C11017" w:rsidRPr="00DD230C">
              <w:rPr>
                <w:rFonts w:asciiTheme="minorHAnsi" w:eastAsia="MS Mincho" w:hAnsiTheme="minorHAnsi" w:cstheme="minorHAnsi"/>
                <w:i/>
                <w:iCs/>
                <w:sz w:val="22"/>
                <w:szCs w:val="22"/>
              </w:rPr>
              <w:t xml:space="preserve"> nebivolol, nadolol,</w:t>
            </w:r>
            <w:r w:rsidRPr="00DD230C">
              <w:rPr>
                <w:rFonts w:asciiTheme="minorHAnsi" w:eastAsia="MS Mincho" w:hAnsiTheme="minorHAnsi" w:cstheme="minorHAnsi"/>
                <w:i/>
                <w:iCs/>
                <w:sz w:val="22"/>
                <w:szCs w:val="22"/>
              </w:rPr>
              <w:t xml:space="preserve"> </w:t>
            </w:r>
            <w:r w:rsidR="00C11017" w:rsidRPr="00DD230C">
              <w:rPr>
                <w:rFonts w:asciiTheme="minorHAnsi" w:eastAsia="MS Mincho" w:hAnsiTheme="minorHAnsi" w:cstheme="minorHAnsi"/>
                <w:i/>
                <w:iCs/>
                <w:sz w:val="22"/>
                <w:szCs w:val="22"/>
              </w:rPr>
              <w:t xml:space="preserve">penbutolol, pindolol, </w:t>
            </w:r>
            <w:r w:rsidRPr="00DD230C">
              <w:rPr>
                <w:rFonts w:asciiTheme="minorHAnsi" w:eastAsia="MS Mincho" w:hAnsiTheme="minorHAnsi" w:cstheme="minorHAnsi"/>
                <w:i/>
                <w:iCs/>
                <w:sz w:val="22"/>
                <w:szCs w:val="22"/>
              </w:rPr>
              <w:t>propranolol</w:t>
            </w:r>
          </w:p>
        </w:tc>
      </w:tr>
      <w:tr w:rsidR="004E0514" w:rsidRPr="00DD230C" w14:paraId="68F8FBEB" w14:textId="77777777" w:rsidTr="00AC7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6"/>
        </w:trPr>
        <w:tc>
          <w:tcPr>
            <w:tcW w:w="10715" w:type="dxa"/>
          </w:tcPr>
          <w:p w14:paraId="4D918571" w14:textId="77777777" w:rsidR="004E0514" w:rsidRPr="00DD230C" w:rsidRDefault="00C11017" w:rsidP="00AC7ABD">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abrupt cessation.</w:t>
            </w:r>
          </w:p>
          <w:p w14:paraId="776AA2E2" w14:textId="622D2655" w:rsidR="00C11017" w:rsidRPr="00DD230C" w:rsidRDefault="00C11017" w:rsidP="00AC7ABD">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Beta blockers are not recommended as first-line agents unless the patient has IHD or HF</w:t>
            </w:r>
            <w:r w:rsidR="00E30AC0" w:rsidRPr="00DD230C">
              <w:rPr>
                <w:rFonts w:asciiTheme="minorHAnsi" w:hAnsiTheme="minorHAnsi" w:cstheme="minorHAnsi"/>
                <w:color w:val="000000"/>
                <w:sz w:val="22"/>
                <w:szCs w:val="22"/>
              </w:rPr>
              <w:t>; avoid agents with intrinsic sympathomimetic activity in these patients (i.e. acebutolol, penbutolol, pindolol).</w:t>
            </w:r>
          </w:p>
          <w:p w14:paraId="51ACB06C" w14:textId="79248310" w:rsidR="00C11017" w:rsidRPr="00DD230C" w:rsidRDefault="00C11017" w:rsidP="00E30AC0">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Cardioselective agents are preferred in patients with bronchospastic airway disease requiring a beta blocker; avoid noncardioselective agents in patients with reactive airway disease.</w:t>
            </w:r>
          </w:p>
        </w:tc>
      </w:tr>
      <w:tr w:rsidR="004E0514" w:rsidRPr="00DD230C" w14:paraId="430BB995"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03"/>
        </w:trPr>
        <w:tc>
          <w:tcPr>
            <w:tcW w:w="10715" w:type="dxa"/>
            <w:shd w:val="clear" w:color="auto" w:fill="BFBFBF" w:themeFill="background1" w:themeFillShade="BF"/>
          </w:tcPr>
          <w:p w14:paraId="7FE3DAD0" w14:textId="1B58D275" w:rsidR="004E0514" w:rsidRPr="00DD230C" w:rsidRDefault="004E0514" w:rsidP="004E0514">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t>Alpha-1 Antagonists</w:t>
            </w:r>
          </w:p>
          <w:p w14:paraId="16A7EBBF" w14:textId="0573327E" w:rsidR="004E0514" w:rsidRPr="00DD230C" w:rsidRDefault="004E0514"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eastAsia="MS Mincho" w:hAnsiTheme="minorHAnsi" w:cstheme="minorHAnsi"/>
                <w:i/>
                <w:iCs/>
                <w:sz w:val="22"/>
                <w:szCs w:val="22"/>
              </w:rPr>
              <w:t>Examples: doxazosin, prazosin, terazosin</w:t>
            </w:r>
          </w:p>
        </w:tc>
      </w:tr>
      <w:tr w:rsidR="004E0514" w:rsidRPr="00DD230C" w14:paraId="1137A1CE" w14:textId="77777777" w:rsidTr="00C00A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23"/>
        </w:trPr>
        <w:tc>
          <w:tcPr>
            <w:tcW w:w="10715" w:type="dxa"/>
          </w:tcPr>
          <w:p w14:paraId="1ED0DFB3" w14:textId="77777777" w:rsidR="004E0514"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May </w:t>
            </w:r>
            <w:r w:rsidR="00C00A2C" w:rsidRPr="00DD230C">
              <w:rPr>
                <w:rFonts w:asciiTheme="minorHAnsi" w:hAnsiTheme="minorHAnsi" w:cstheme="minorHAnsi"/>
                <w:color w:val="000000"/>
                <w:sz w:val="22"/>
                <w:szCs w:val="22"/>
              </w:rPr>
              <w:t>cause orthostatic hypotension, especially in older adults</w:t>
            </w:r>
            <w:r w:rsidRPr="00DD230C">
              <w:rPr>
                <w:rFonts w:asciiTheme="minorHAnsi" w:hAnsiTheme="minorHAnsi" w:cstheme="minorHAnsi"/>
                <w:color w:val="000000"/>
                <w:sz w:val="22"/>
                <w:szCs w:val="22"/>
              </w:rPr>
              <w:t>.</w:t>
            </w:r>
          </w:p>
          <w:p w14:paraId="7F8AF721" w14:textId="35521224" w:rsidR="00E30AC0"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May be considered second-line in patients with concomitant BPH.</w:t>
            </w:r>
          </w:p>
        </w:tc>
      </w:tr>
      <w:tr w:rsidR="004E0514" w:rsidRPr="00DD230C" w14:paraId="4897D21A"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70"/>
        </w:trPr>
        <w:tc>
          <w:tcPr>
            <w:tcW w:w="10715" w:type="dxa"/>
            <w:shd w:val="clear" w:color="auto" w:fill="BFBFBF" w:themeFill="background1" w:themeFillShade="BF"/>
          </w:tcPr>
          <w:p w14:paraId="7CA656DC" w14:textId="3D9D9DE3" w:rsidR="004E0514" w:rsidRPr="00DD230C" w:rsidRDefault="004E0514" w:rsidP="004E0514">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t>Central Alpha-2 Agonists</w:t>
            </w:r>
          </w:p>
          <w:p w14:paraId="44C805EB" w14:textId="5FA6F450" w:rsidR="004E0514" w:rsidRPr="00DD230C" w:rsidRDefault="004E0514"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eastAsia="MS Mincho" w:hAnsiTheme="minorHAnsi" w:cstheme="minorHAnsi"/>
                <w:i/>
                <w:iCs/>
                <w:sz w:val="22"/>
                <w:szCs w:val="22"/>
              </w:rPr>
              <w:t>Examples: clonidine, guanfacine</w:t>
            </w:r>
            <w:r w:rsidR="00E30AC0" w:rsidRPr="00DD230C">
              <w:rPr>
                <w:rFonts w:asciiTheme="minorHAnsi" w:eastAsia="MS Mincho" w:hAnsiTheme="minorHAnsi" w:cstheme="minorHAnsi"/>
                <w:i/>
                <w:iCs/>
                <w:sz w:val="22"/>
                <w:szCs w:val="22"/>
              </w:rPr>
              <w:t>, methyldopa</w:t>
            </w:r>
          </w:p>
        </w:tc>
      </w:tr>
      <w:tr w:rsidR="004E0514" w:rsidRPr="00DD230C" w14:paraId="1F497B10" w14:textId="77777777" w:rsidTr="00AC7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0"/>
        </w:trPr>
        <w:tc>
          <w:tcPr>
            <w:tcW w:w="10715" w:type="dxa"/>
          </w:tcPr>
          <w:p w14:paraId="0C9944AB" w14:textId="77777777" w:rsidR="00E30AC0"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Generally </w:t>
            </w:r>
            <w:r w:rsidR="00C00A2C" w:rsidRPr="00DD230C">
              <w:rPr>
                <w:rFonts w:asciiTheme="minorHAnsi" w:hAnsiTheme="minorHAnsi" w:cstheme="minorHAnsi"/>
                <w:color w:val="000000"/>
                <w:sz w:val="22"/>
                <w:szCs w:val="22"/>
              </w:rPr>
              <w:t>last line because of significant CNS adverse effects, especially in older adults</w:t>
            </w:r>
            <w:r w:rsidRPr="00DD230C">
              <w:rPr>
                <w:rFonts w:asciiTheme="minorHAnsi" w:hAnsiTheme="minorHAnsi" w:cstheme="minorHAnsi"/>
                <w:color w:val="000000"/>
                <w:sz w:val="22"/>
                <w:szCs w:val="22"/>
              </w:rPr>
              <w:t>.</w:t>
            </w:r>
          </w:p>
          <w:p w14:paraId="2E3E18C8" w14:textId="5785010A" w:rsidR="004E0514"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w:t>
            </w:r>
            <w:r w:rsidR="00C00A2C" w:rsidRPr="00DD230C">
              <w:rPr>
                <w:rFonts w:asciiTheme="minorHAnsi" w:hAnsiTheme="minorHAnsi" w:cstheme="minorHAnsi"/>
                <w:color w:val="000000"/>
                <w:sz w:val="22"/>
                <w:szCs w:val="22"/>
              </w:rPr>
              <w:t>void abrupt cessation of clonidine</w:t>
            </w:r>
            <w:r w:rsidRPr="00DD230C">
              <w:rPr>
                <w:rFonts w:asciiTheme="minorHAnsi" w:hAnsiTheme="minorHAnsi" w:cstheme="minorHAnsi"/>
                <w:color w:val="000000"/>
                <w:sz w:val="22"/>
                <w:szCs w:val="22"/>
              </w:rPr>
              <w:t xml:space="preserve"> which may lead to hypertensive crisis; taper to avoid rebound hypertension.</w:t>
            </w:r>
          </w:p>
        </w:tc>
      </w:tr>
      <w:tr w:rsidR="004E0514" w:rsidRPr="00DD230C" w14:paraId="5A149E4F"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6"/>
        </w:trPr>
        <w:tc>
          <w:tcPr>
            <w:tcW w:w="10715" w:type="dxa"/>
            <w:shd w:val="clear" w:color="auto" w:fill="BFBFBF" w:themeFill="background1" w:themeFillShade="BF"/>
          </w:tcPr>
          <w:p w14:paraId="24A92FFE" w14:textId="223F5F65" w:rsidR="004E0514" w:rsidRPr="00DD230C" w:rsidRDefault="004E0514" w:rsidP="004E0514">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t>Direct Arterial Vasodilators</w:t>
            </w:r>
          </w:p>
          <w:p w14:paraId="44E9D81D" w14:textId="0955918D" w:rsidR="004E0514" w:rsidRPr="00DD230C" w:rsidRDefault="004E0514"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eastAsia="MS Mincho" w:hAnsiTheme="minorHAnsi" w:cstheme="minorHAnsi"/>
                <w:i/>
                <w:iCs/>
                <w:sz w:val="22"/>
                <w:szCs w:val="22"/>
              </w:rPr>
              <w:t>Examples: hydralazine, minoxidil</w:t>
            </w:r>
          </w:p>
        </w:tc>
      </w:tr>
      <w:tr w:rsidR="004E0514" w:rsidRPr="00DD230C" w14:paraId="17D11ED5" w14:textId="77777777" w:rsidTr="00AC7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84"/>
        </w:trPr>
        <w:tc>
          <w:tcPr>
            <w:tcW w:w="10715" w:type="dxa"/>
          </w:tcPr>
          <w:p w14:paraId="77D564BB" w14:textId="77777777" w:rsidR="004E0514"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Associated with sodium and water retention and reflex tachycardia; use with a diuretic and beta blocker.</w:t>
            </w:r>
          </w:p>
          <w:p w14:paraId="37A796A0" w14:textId="77777777" w:rsidR="00E30AC0"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Hydralazine is associated with drug-induced lupus-like syndrome at higher doses.</w:t>
            </w:r>
          </w:p>
          <w:p w14:paraId="337FCD17" w14:textId="77777777" w:rsidR="00E30AC0"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Minoxidil is associated with hirsutism and requires a loop diuretic. </w:t>
            </w:r>
          </w:p>
          <w:p w14:paraId="752E99D9" w14:textId="48EBAE0B" w:rsidR="00E30AC0"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Minoxidil can induce pericardial effusion.</w:t>
            </w:r>
          </w:p>
        </w:tc>
      </w:tr>
    </w:tbl>
    <w:p w14:paraId="5AB7D80E" w14:textId="3433D669" w:rsidR="000F2738" w:rsidRPr="00425AFE" w:rsidRDefault="00425AFE" w:rsidP="00821E91">
      <w:pPr>
        <w:spacing w:after="0"/>
        <w:ind w:left="-720"/>
        <w:contextualSpacing/>
        <w:rPr>
          <w:rStyle w:val="normaltextrun"/>
          <w:rFonts w:asciiTheme="minorHAnsi" w:hAnsiTheme="minorHAnsi" w:cstheme="minorHAnsi"/>
          <w:color w:val="000000"/>
          <w:sz w:val="20"/>
          <w:szCs w:val="20"/>
          <w:bdr w:val="none" w:sz="0" w:space="0" w:color="auto" w:frame="1"/>
        </w:rPr>
      </w:pPr>
      <w:r>
        <w:rPr>
          <w:rStyle w:val="normaltextrun"/>
          <w:rFonts w:asciiTheme="minorHAnsi" w:hAnsiTheme="minorHAnsi" w:cstheme="minorHAnsi"/>
          <w:color w:val="000000"/>
          <w:sz w:val="20"/>
          <w:szCs w:val="20"/>
          <w:bdr w:val="none" w:sz="0" w:space="0" w:color="auto" w:frame="1"/>
        </w:rPr>
        <w:t>ACE = angiotensin-converting enzyme; ARB = angiotensin receptor blocker; BP = blood pressure; BPH = benign prostatic hyperplasia; CCB = calcium channel blocker; CKD = chronic kidney disease; CNS = central nervous system; CVD = cardiovascular disease; eGFR = estimated glomerular filtration rate; HF = heart failure; HFrEF = heart failure with reduced ejection fraction; IHD = ischemic heart disease</w:t>
      </w:r>
    </w:p>
    <w:p w14:paraId="588EE875" w14:textId="78513099" w:rsidR="000F2738" w:rsidRDefault="00DD230C" w:rsidP="004B028A">
      <w:pPr>
        <w:spacing w:after="0"/>
        <w:rPr>
          <w:rStyle w:val="normaltextrun"/>
          <w:rFonts w:asciiTheme="minorHAnsi" w:hAnsiTheme="minorHAnsi" w:cstheme="minorHAnsi"/>
          <w:color w:val="000000"/>
          <w:sz w:val="22"/>
          <w:szCs w:val="22"/>
          <w:bdr w:val="none" w:sz="0" w:space="0" w:color="auto" w:frame="1"/>
        </w:rPr>
      </w:pPr>
      <w:r>
        <w:rPr>
          <w:rStyle w:val="normaltextrun"/>
          <w:rFonts w:asciiTheme="minorHAnsi" w:hAnsiTheme="minorHAnsi" w:cstheme="minorHAnsi"/>
          <w:color w:val="000000"/>
          <w:sz w:val="22"/>
          <w:szCs w:val="22"/>
          <w:bdr w:val="none" w:sz="0" w:space="0" w:color="auto" w:frame="1"/>
        </w:rPr>
        <w:br w:type="page"/>
      </w:r>
    </w:p>
    <w:p w14:paraId="01D19996" w14:textId="7DEAE77A" w:rsidR="00DD230C" w:rsidRPr="00DD230C" w:rsidRDefault="00DD230C" w:rsidP="004B028A">
      <w:pPr>
        <w:spacing w:after="0"/>
        <w:rPr>
          <w:rStyle w:val="normaltextrun"/>
          <w:rFonts w:asciiTheme="minorHAnsi" w:hAnsiTheme="minorHAnsi" w:cstheme="minorHAnsi"/>
          <w:b/>
          <w:bCs/>
          <w:color w:val="000000"/>
          <w:sz w:val="22"/>
          <w:szCs w:val="22"/>
          <w:bdr w:val="none" w:sz="0" w:space="0" w:color="auto" w:frame="1"/>
        </w:rPr>
      </w:pPr>
      <w:r>
        <w:rPr>
          <w:rStyle w:val="normaltextrun"/>
          <w:rFonts w:asciiTheme="minorHAnsi" w:hAnsiTheme="minorHAnsi" w:cstheme="minorHAnsi"/>
          <w:b/>
          <w:bCs/>
          <w:color w:val="000000"/>
          <w:sz w:val="22"/>
          <w:szCs w:val="22"/>
          <w:bdr w:val="none" w:sz="0" w:space="0" w:color="auto" w:frame="1"/>
        </w:rPr>
        <w:lastRenderedPageBreak/>
        <w:t>Table 5: Recommended Agents in Special Populations</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990"/>
        <w:gridCol w:w="1163"/>
        <w:gridCol w:w="716"/>
        <w:gridCol w:w="666"/>
        <w:gridCol w:w="597"/>
        <w:gridCol w:w="676"/>
        <w:gridCol w:w="646"/>
        <w:gridCol w:w="865"/>
        <w:gridCol w:w="1194"/>
        <w:gridCol w:w="1144"/>
        <w:gridCol w:w="7"/>
      </w:tblGrid>
      <w:tr w:rsidR="000F2738" w:rsidRPr="00A85C97" w14:paraId="1DC318E5" w14:textId="77777777" w:rsidTr="00595C39">
        <w:trPr>
          <w:gridAfter w:val="1"/>
          <w:wAfter w:w="7" w:type="dxa"/>
          <w:trHeight w:val="521"/>
          <w:jc w:val="center"/>
        </w:trPr>
        <w:tc>
          <w:tcPr>
            <w:tcW w:w="2155" w:type="dxa"/>
            <w:shd w:val="clear" w:color="auto" w:fill="D0CECE" w:themeFill="background2" w:themeFillShade="E6"/>
            <w:vAlign w:val="center"/>
          </w:tcPr>
          <w:p w14:paraId="20F4827E" w14:textId="5C60CD51"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Population</w:t>
            </w:r>
          </w:p>
        </w:tc>
        <w:tc>
          <w:tcPr>
            <w:tcW w:w="990" w:type="dxa"/>
            <w:shd w:val="clear" w:color="auto" w:fill="D0CECE" w:themeFill="background2" w:themeFillShade="E6"/>
            <w:vAlign w:val="center"/>
          </w:tcPr>
          <w:p w14:paraId="5F3ED132" w14:textId="39FBCF4C"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sz w:val="20"/>
                <w:szCs w:val="20"/>
              </w:rPr>
              <w:t>Thiazide</w:t>
            </w:r>
          </w:p>
        </w:tc>
        <w:tc>
          <w:tcPr>
            <w:tcW w:w="1163" w:type="dxa"/>
            <w:shd w:val="clear" w:color="auto" w:fill="D0CECE" w:themeFill="background2" w:themeFillShade="E6"/>
            <w:vAlign w:val="center"/>
          </w:tcPr>
          <w:p w14:paraId="07EC5890" w14:textId="5E40AC6C"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sz w:val="20"/>
                <w:szCs w:val="20"/>
              </w:rPr>
              <w:t>B-blocker</w:t>
            </w:r>
          </w:p>
        </w:tc>
        <w:tc>
          <w:tcPr>
            <w:tcW w:w="716" w:type="dxa"/>
            <w:shd w:val="clear" w:color="auto" w:fill="D0CECE" w:themeFill="background2" w:themeFillShade="E6"/>
            <w:vAlign w:val="center"/>
          </w:tcPr>
          <w:p w14:paraId="110E4749" w14:textId="74222B22"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vertAlign w:val="superscript"/>
              </w:rPr>
            </w:pPr>
            <w:r w:rsidRPr="00DD230C">
              <w:rPr>
                <w:rFonts w:asciiTheme="minorHAnsi" w:eastAsia="MS Mincho" w:hAnsiTheme="minorHAnsi" w:cstheme="minorHAnsi"/>
                <w:b/>
                <w:sz w:val="20"/>
                <w:szCs w:val="20"/>
              </w:rPr>
              <w:t>ACEi</w:t>
            </w:r>
            <w:r w:rsidRPr="00DD230C">
              <w:rPr>
                <w:rFonts w:asciiTheme="minorHAnsi" w:eastAsia="MS Mincho" w:hAnsiTheme="minorHAnsi" w:cstheme="minorHAnsi"/>
                <w:b/>
                <w:sz w:val="20"/>
                <w:szCs w:val="20"/>
                <w:vertAlign w:val="superscript"/>
              </w:rPr>
              <w:t>#</w:t>
            </w:r>
          </w:p>
        </w:tc>
        <w:tc>
          <w:tcPr>
            <w:tcW w:w="666" w:type="dxa"/>
            <w:shd w:val="clear" w:color="auto" w:fill="D0CECE" w:themeFill="background2" w:themeFillShade="E6"/>
            <w:vAlign w:val="center"/>
          </w:tcPr>
          <w:p w14:paraId="6BD16D1F" w14:textId="3382A01A"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vertAlign w:val="superscript"/>
              </w:rPr>
            </w:pPr>
            <w:r w:rsidRPr="00DD230C">
              <w:rPr>
                <w:rFonts w:asciiTheme="minorHAnsi" w:eastAsia="MS Mincho" w:hAnsiTheme="minorHAnsi" w:cstheme="minorHAnsi"/>
                <w:b/>
                <w:sz w:val="20"/>
                <w:szCs w:val="20"/>
              </w:rPr>
              <w:t>ARB</w:t>
            </w:r>
            <w:r w:rsidRPr="00DD230C">
              <w:rPr>
                <w:rFonts w:asciiTheme="minorHAnsi" w:eastAsia="MS Mincho" w:hAnsiTheme="minorHAnsi" w:cstheme="minorHAnsi"/>
                <w:b/>
                <w:sz w:val="20"/>
                <w:szCs w:val="20"/>
                <w:vertAlign w:val="superscript"/>
              </w:rPr>
              <w:t>#</w:t>
            </w:r>
          </w:p>
        </w:tc>
        <w:tc>
          <w:tcPr>
            <w:tcW w:w="597" w:type="dxa"/>
            <w:shd w:val="clear" w:color="auto" w:fill="D0CECE" w:themeFill="background2" w:themeFillShade="E6"/>
            <w:vAlign w:val="center"/>
          </w:tcPr>
          <w:p w14:paraId="5C54218A" w14:textId="7D285F7D"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sz w:val="20"/>
                <w:szCs w:val="20"/>
              </w:rPr>
              <w:t>CCB</w:t>
            </w:r>
          </w:p>
        </w:tc>
        <w:tc>
          <w:tcPr>
            <w:tcW w:w="676" w:type="dxa"/>
            <w:shd w:val="clear" w:color="auto" w:fill="D0CECE" w:themeFill="background2" w:themeFillShade="E6"/>
            <w:vAlign w:val="center"/>
          </w:tcPr>
          <w:p w14:paraId="22979EE6" w14:textId="61609DF9"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sz w:val="20"/>
                <w:szCs w:val="20"/>
              </w:rPr>
              <w:t>MRA</w:t>
            </w:r>
          </w:p>
        </w:tc>
        <w:tc>
          <w:tcPr>
            <w:tcW w:w="646" w:type="dxa"/>
            <w:shd w:val="clear" w:color="auto" w:fill="D0CECE" w:themeFill="background2" w:themeFillShade="E6"/>
            <w:vAlign w:val="center"/>
          </w:tcPr>
          <w:p w14:paraId="2DB7A962" w14:textId="59E77A0E"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sz w:val="20"/>
                <w:szCs w:val="20"/>
              </w:rPr>
              <w:t>Loop</w:t>
            </w:r>
          </w:p>
        </w:tc>
        <w:tc>
          <w:tcPr>
            <w:tcW w:w="865" w:type="dxa"/>
            <w:shd w:val="clear" w:color="auto" w:fill="D0CECE" w:themeFill="background2" w:themeFillShade="E6"/>
            <w:vAlign w:val="center"/>
          </w:tcPr>
          <w:p w14:paraId="79E9E78B" w14:textId="6AD84730"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bCs/>
                <w:color w:val="000000"/>
                <w:sz w:val="20"/>
                <w:szCs w:val="20"/>
              </w:rPr>
              <w:t>α1-blocker</w:t>
            </w:r>
          </w:p>
        </w:tc>
        <w:tc>
          <w:tcPr>
            <w:tcW w:w="1194" w:type="dxa"/>
            <w:shd w:val="clear" w:color="auto" w:fill="D0CECE" w:themeFill="background2" w:themeFillShade="E6"/>
            <w:vAlign w:val="center"/>
          </w:tcPr>
          <w:p w14:paraId="1D64C2A0" w14:textId="062FF7EC"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bCs/>
                <w:color w:val="000000"/>
                <w:sz w:val="20"/>
                <w:szCs w:val="20"/>
              </w:rPr>
              <w:t>Arterial Vasodilator</w:t>
            </w:r>
          </w:p>
        </w:tc>
        <w:tc>
          <w:tcPr>
            <w:tcW w:w="1144" w:type="dxa"/>
            <w:shd w:val="clear" w:color="auto" w:fill="D0CECE" w:themeFill="background2" w:themeFillShade="E6"/>
            <w:vAlign w:val="center"/>
          </w:tcPr>
          <w:p w14:paraId="3D8B22CE" w14:textId="7946D965"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bCs/>
                <w:color w:val="000000"/>
                <w:sz w:val="20"/>
                <w:szCs w:val="20"/>
              </w:rPr>
              <w:t>Central α2-agonist</w:t>
            </w:r>
          </w:p>
        </w:tc>
      </w:tr>
      <w:tr w:rsidR="000F2738" w:rsidRPr="00A85C97" w14:paraId="50149352" w14:textId="77777777" w:rsidTr="00595C39">
        <w:trPr>
          <w:gridAfter w:val="1"/>
          <w:wAfter w:w="7" w:type="dxa"/>
          <w:trHeight w:val="278"/>
          <w:jc w:val="center"/>
        </w:trPr>
        <w:tc>
          <w:tcPr>
            <w:tcW w:w="2155" w:type="dxa"/>
            <w:shd w:val="clear" w:color="auto" w:fill="auto"/>
            <w:vAlign w:val="center"/>
          </w:tcPr>
          <w:p w14:paraId="3908EDBB" w14:textId="10311CB1"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Heart Failure</w:t>
            </w:r>
          </w:p>
        </w:tc>
        <w:tc>
          <w:tcPr>
            <w:tcW w:w="8657" w:type="dxa"/>
            <w:gridSpan w:val="10"/>
            <w:shd w:val="clear" w:color="auto" w:fill="D0CECE" w:themeFill="background2" w:themeFillShade="E6"/>
            <w:vAlign w:val="center"/>
          </w:tcPr>
          <w:p w14:paraId="774FEBC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0A2CE742" w14:textId="77777777" w:rsidTr="00595C39">
        <w:trPr>
          <w:gridAfter w:val="1"/>
          <w:wAfter w:w="7" w:type="dxa"/>
          <w:trHeight w:val="255"/>
          <w:jc w:val="center"/>
        </w:trPr>
        <w:tc>
          <w:tcPr>
            <w:tcW w:w="2155" w:type="dxa"/>
            <w:shd w:val="clear" w:color="auto" w:fill="auto"/>
            <w:vAlign w:val="center"/>
          </w:tcPr>
          <w:p w14:paraId="5E4B7652" w14:textId="72238F1C" w:rsidR="000F2738" w:rsidRPr="00DD230C" w:rsidRDefault="000F2738" w:rsidP="00821E91">
            <w:pPr>
              <w:pStyle w:val="ListParagraph"/>
              <w:numPr>
                <w:ilvl w:val="0"/>
                <w:numId w:val="23"/>
              </w:numPr>
              <w:adjustRightInd w:val="0"/>
              <w:ind w:left="517"/>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HFrEF</w:t>
            </w:r>
            <w:r w:rsidR="00C24691">
              <w:rPr>
                <w:rFonts w:asciiTheme="minorHAnsi" w:eastAsia="MS Mincho" w:hAnsiTheme="minorHAnsi" w:cstheme="minorHAnsi"/>
                <w:b/>
                <w:bCs/>
                <w:sz w:val="20"/>
                <w:szCs w:val="20"/>
              </w:rPr>
              <w:t>*</w:t>
            </w:r>
          </w:p>
        </w:tc>
        <w:tc>
          <w:tcPr>
            <w:tcW w:w="990" w:type="dxa"/>
            <w:shd w:val="clear" w:color="auto" w:fill="FFFFFF"/>
            <w:vAlign w:val="center"/>
          </w:tcPr>
          <w:p w14:paraId="1007121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63" w:type="dxa"/>
            <w:shd w:val="clear" w:color="auto" w:fill="FFFFFF"/>
            <w:vAlign w:val="center"/>
          </w:tcPr>
          <w:p w14:paraId="7A4EC9B5" w14:textId="5B9ED50E"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716" w:type="dxa"/>
            <w:shd w:val="clear" w:color="auto" w:fill="FFFFFF"/>
            <w:vAlign w:val="center"/>
          </w:tcPr>
          <w:p w14:paraId="3B9D2987" w14:textId="77605FE9"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174EF4CA" w14:textId="474C6814"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4B11AD9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003C78C2" w14:textId="44AEE76A"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46" w:type="dxa"/>
            <w:shd w:val="clear" w:color="auto" w:fill="FFFFFF"/>
            <w:vAlign w:val="center"/>
          </w:tcPr>
          <w:p w14:paraId="2AF15F3A" w14:textId="1DC424DA"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865" w:type="dxa"/>
            <w:shd w:val="clear" w:color="auto" w:fill="FFFFFF"/>
            <w:vAlign w:val="center"/>
          </w:tcPr>
          <w:p w14:paraId="08DF091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6F6D8BFA" w14:textId="44D5CC5B"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1144" w:type="dxa"/>
            <w:shd w:val="clear" w:color="auto" w:fill="FFFFFF"/>
            <w:vAlign w:val="center"/>
          </w:tcPr>
          <w:p w14:paraId="589FEBF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0F9E7AC5" w14:textId="77777777" w:rsidTr="00595C39">
        <w:trPr>
          <w:gridAfter w:val="1"/>
          <w:wAfter w:w="7" w:type="dxa"/>
          <w:trHeight w:val="255"/>
          <w:jc w:val="center"/>
        </w:trPr>
        <w:tc>
          <w:tcPr>
            <w:tcW w:w="2155" w:type="dxa"/>
            <w:shd w:val="clear" w:color="auto" w:fill="auto"/>
            <w:vAlign w:val="center"/>
          </w:tcPr>
          <w:p w14:paraId="3753999A" w14:textId="74449B65" w:rsidR="000F2738" w:rsidRPr="00DD230C" w:rsidRDefault="000F2738" w:rsidP="00821E91">
            <w:pPr>
              <w:pStyle w:val="ListParagraph"/>
              <w:numPr>
                <w:ilvl w:val="0"/>
                <w:numId w:val="23"/>
              </w:numPr>
              <w:adjustRightInd w:val="0"/>
              <w:ind w:left="517"/>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HFpEF</w:t>
            </w:r>
          </w:p>
        </w:tc>
        <w:tc>
          <w:tcPr>
            <w:tcW w:w="990" w:type="dxa"/>
            <w:shd w:val="clear" w:color="auto" w:fill="FFFFFF"/>
            <w:vAlign w:val="center"/>
          </w:tcPr>
          <w:p w14:paraId="1D386CE8"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63" w:type="dxa"/>
            <w:shd w:val="clear" w:color="auto" w:fill="FFFFFF"/>
            <w:vAlign w:val="center"/>
          </w:tcPr>
          <w:p w14:paraId="18B6D075" w14:textId="070A5FEB"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716" w:type="dxa"/>
            <w:shd w:val="clear" w:color="auto" w:fill="FFFFFF"/>
            <w:vAlign w:val="center"/>
          </w:tcPr>
          <w:p w14:paraId="3867D99E" w14:textId="340E65E8"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03145652" w14:textId="27683D3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3E404C0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43B25469" w14:textId="7888B358"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46" w:type="dxa"/>
            <w:shd w:val="clear" w:color="auto" w:fill="FFFFFF"/>
            <w:vAlign w:val="center"/>
          </w:tcPr>
          <w:p w14:paraId="2B5D07C7" w14:textId="6F894EE4"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865" w:type="dxa"/>
            <w:shd w:val="clear" w:color="auto" w:fill="FFFFFF"/>
            <w:vAlign w:val="center"/>
          </w:tcPr>
          <w:p w14:paraId="2B0029A6"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404A7C4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048F7C4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32C97734" w14:textId="77777777" w:rsidTr="00595C39">
        <w:trPr>
          <w:gridAfter w:val="1"/>
          <w:wAfter w:w="7" w:type="dxa"/>
          <w:trHeight w:val="255"/>
          <w:jc w:val="center"/>
        </w:trPr>
        <w:tc>
          <w:tcPr>
            <w:tcW w:w="2155" w:type="dxa"/>
            <w:shd w:val="clear" w:color="auto" w:fill="auto"/>
            <w:vAlign w:val="center"/>
          </w:tcPr>
          <w:p w14:paraId="36A4F6BD" w14:textId="7D29B9D4"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Stable Ischemic Heart Disease</w:t>
            </w:r>
            <w:r w:rsidR="00595C39" w:rsidRPr="00595C39">
              <w:rPr>
                <w:rFonts w:ascii="Calibri" w:eastAsia="MS Mincho" w:hAnsi="Calibri" w:cs="Calibri"/>
                <w:b/>
                <w:bCs/>
                <w:sz w:val="20"/>
                <w:szCs w:val="20"/>
              </w:rPr>
              <w:t>^</w:t>
            </w:r>
          </w:p>
        </w:tc>
        <w:tc>
          <w:tcPr>
            <w:tcW w:w="990" w:type="dxa"/>
            <w:shd w:val="clear" w:color="auto" w:fill="FFFFFF"/>
            <w:vAlign w:val="center"/>
          </w:tcPr>
          <w:p w14:paraId="719A719F" w14:textId="61B84405"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1163" w:type="dxa"/>
            <w:shd w:val="clear" w:color="auto" w:fill="FFFFFF"/>
            <w:vAlign w:val="center"/>
          </w:tcPr>
          <w:p w14:paraId="4D05CD1C" w14:textId="75164E1A"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716" w:type="dxa"/>
            <w:shd w:val="clear" w:color="auto" w:fill="FFFFFF"/>
            <w:vAlign w:val="center"/>
          </w:tcPr>
          <w:p w14:paraId="729A77D2" w14:textId="73BF36ED"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2AF3AC86" w14:textId="09AB0921"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612E669F" w14:textId="219038F1"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76" w:type="dxa"/>
            <w:shd w:val="clear" w:color="auto" w:fill="FFFFFF"/>
            <w:vAlign w:val="center"/>
          </w:tcPr>
          <w:p w14:paraId="4C23C8B6" w14:textId="5829FA48"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46" w:type="dxa"/>
            <w:shd w:val="clear" w:color="auto" w:fill="FFFFFF"/>
            <w:vAlign w:val="center"/>
          </w:tcPr>
          <w:p w14:paraId="13D7DDF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5B6BEDA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5689091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622EA6F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333466E0" w14:textId="77777777" w:rsidTr="00595C39">
        <w:trPr>
          <w:gridAfter w:val="1"/>
          <w:wAfter w:w="7" w:type="dxa"/>
          <w:trHeight w:val="278"/>
          <w:jc w:val="center"/>
        </w:trPr>
        <w:tc>
          <w:tcPr>
            <w:tcW w:w="2155" w:type="dxa"/>
            <w:shd w:val="clear" w:color="auto" w:fill="auto"/>
            <w:vAlign w:val="center"/>
          </w:tcPr>
          <w:p w14:paraId="361A4D6A" w14:textId="77777777"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Post MI</w:t>
            </w:r>
          </w:p>
        </w:tc>
        <w:tc>
          <w:tcPr>
            <w:tcW w:w="990" w:type="dxa"/>
            <w:shd w:val="clear" w:color="auto" w:fill="FFFFFF"/>
            <w:vAlign w:val="center"/>
          </w:tcPr>
          <w:p w14:paraId="2A18BBD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63" w:type="dxa"/>
            <w:shd w:val="clear" w:color="auto" w:fill="FFFFFF"/>
            <w:vAlign w:val="center"/>
          </w:tcPr>
          <w:p w14:paraId="11EBFDC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716" w:type="dxa"/>
            <w:shd w:val="clear" w:color="auto" w:fill="FFFFFF"/>
            <w:vAlign w:val="center"/>
          </w:tcPr>
          <w:p w14:paraId="2572A13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39A08FF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597" w:type="dxa"/>
            <w:shd w:val="clear" w:color="auto" w:fill="FFFFFF"/>
            <w:vAlign w:val="center"/>
          </w:tcPr>
          <w:p w14:paraId="5FC05C7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71A7F14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46" w:type="dxa"/>
            <w:shd w:val="clear" w:color="auto" w:fill="FFFFFF"/>
            <w:vAlign w:val="center"/>
          </w:tcPr>
          <w:p w14:paraId="52DF5B6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5DC14904"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5B1B01C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3621367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361017" w14:paraId="3C6017B5" w14:textId="77777777" w:rsidTr="00595C39">
        <w:trPr>
          <w:trHeight w:val="236"/>
          <w:jc w:val="center"/>
        </w:trPr>
        <w:tc>
          <w:tcPr>
            <w:tcW w:w="2155" w:type="dxa"/>
            <w:vAlign w:val="center"/>
          </w:tcPr>
          <w:p w14:paraId="7C5B76D0" w14:textId="77777777"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Diabetes Mellitus</w:t>
            </w:r>
          </w:p>
        </w:tc>
        <w:tc>
          <w:tcPr>
            <w:tcW w:w="8664" w:type="dxa"/>
            <w:gridSpan w:val="11"/>
            <w:shd w:val="clear" w:color="auto" w:fill="D0CECE" w:themeFill="background2" w:themeFillShade="E6"/>
            <w:vAlign w:val="center"/>
          </w:tcPr>
          <w:p w14:paraId="5BEA08CA"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0246080F" w14:textId="77777777" w:rsidTr="00595C39">
        <w:trPr>
          <w:gridAfter w:val="1"/>
          <w:wAfter w:w="7" w:type="dxa"/>
          <w:trHeight w:val="218"/>
          <w:jc w:val="center"/>
        </w:trPr>
        <w:tc>
          <w:tcPr>
            <w:tcW w:w="2155" w:type="dxa"/>
            <w:shd w:val="clear" w:color="auto" w:fill="auto"/>
            <w:vAlign w:val="center"/>
          </w:tcPr>
          <w:p w14:paraId="4D7A4AED" w14:textId="77777777" w:rsidR="000F2738" w:rsidRPr="00DD230C" w:rsidRDefault="000F2738" w:rsidP="00821E91">
            <w:pPr>
              <w:widowControl w:val="0"/>
              <w:numPr>
                <w:ilvl w:val="0"/>
                <w:numId w:val="17"/>
              </w:numPr>
              <w:autoSpaceDE w:val="0"/>
              <w:autoSpaceDN w:val="0"/>
              <w:adjustRightInd w:val="0"/>
              <w:spacing w:after="0"/>
              <w:ind w:hanging="195"/>
              <w:contextualSpacing/>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 albuminuria</w:t>
            </w:r>
          </w:p>
        </w:tc>
        <w:tc>
          <w:tcPr>
            <w:tcW w:w="990" w:type="dxa"/>
            <w:shd w:val="clear" w:color="auto" w:fill="FFFFFF"/>
            <w:vAlign w:val="center"/>
          </w:tcPr>
          <w:p w14:paraId="67994D9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1163" w:type="dxa"/>
            <w:shd w:val="clear" w:color="auto" w:fill="FFFFFF"/>
            <w:vAlign w:val="center"/>
          </w:tcPr>
          <w:p w14:paraId="7F41D45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1B7B386A"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61300044"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09870EA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76" w:type="dxa"/>
            <w:shd w:val="clear" w:color="auto" w:fill="FFFFFF"/>
            <w:vAlign w:val="center"/>
          </w:tcPr>
          <w:p w14:paraId="1D4A610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497A32F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7003437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48401C79"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5E912BB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092443CA" w14:textId="77777777" w:rsidTr="00595C39">
        <w:trPr>
          <w:gridAfter w:val="1"/>
          <w:wAfter w:w="7" w:type="dxa"/>
          <w:trHeight w:val="255"/>
          <w:jc w:val="center"/>
        </w:trPr>
        <w:tc>
          <w:tcPr>
            <w:tcW w:w="2155" w:type="dxa"/>
            <w:shd w:val="clear" w:color="auto" w:fill="auto"/>
            <w:vAlign w:val="center"/>
          </w:tcPr>
          <w:p w14:paraId="53AFEA5C" w14:textId="77777777" w:rsidR="000F2738" w:rsidRPr="00DD230C" w:rsidRDefault="000F2738" w:rsidP="00821E91">
            <w:pPr>
              <w:widowControl w:val="0"/>
              <w:numPr>
                <w:ilvl w:val="0"/>
                <w:numId w:val="17"/>
              </w:numPr>
              <w:autoSpaceDE w:val="0"/>
              <w:autoSpaceDN w:val="0"/>
              <w:adjustRightInd w:val="0"/>
              <w:spacing w:after="0"/>
              <w:ind w:hanging="195"/>
              <w:contextualSpacing/>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 albuminuria</w:t>
            </w:r>
          </w:p>
        </w:tc>
        <w:tc>
          <w:tcPr>
            <w:tcW w:w="990" w:type="dxa"/>
            <w:shd w:val="clear" w:color="auto" w:fill="FFFFFF"/>
            <w:vAlign w:val="center"/>
          </w:tcPr>
          <w:p w14:paraId="1EBEAD2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1163" w:type="dxa"/>
            <w:shd w:val="clear" w:color="auto" w:fill="FFFFFF"/>
            <w:vAlign w:val="center"/>
          </w:tcPr>
          <w:p w14:paraId="1404B67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13D7AC4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53F9AFA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2CD3B364"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76" w:type="dxa"/>
            <w:shd w:val="clear" w:color="auto" w:fill="FFFFFF"/>
            <w:vAlign w:val="center"/>
          </w:tcPr>
          <w:p w14:paraId="5095DF7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20ABA849"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7463C53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3292DBBA"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4704405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361017" w14:paraId="21BACF92" w14:textId="77777777" w:rsidTr="00595C39">
        <w:trPr>
          <w:trHeight w:val="255"/>
          <w:jc w:val="center"/>
        </w:trPr>
        <w:tc>
          <w:tcPr>
            <w:tcW w:w="2155" w:type="dxa"/>
            <w:vAlign w:val="center"/>
          </w:tcPr>
          <w:p w14:paraId="4F49401F" w14:textId="44CB03CF"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Chronic Kidney Disease</w:t>
            </w:r>
          </w:p>
        </w:tc>
        <w:tc>
          <w:tcPr>
            <w:tcW w:w="8664" w:type="dxa"/>
            <w:gridSpan w:val="11"/>
            <w:shd w:val="clear" w:color="auto" w:fill="D0CECE" w:themeFill="background2" w:themeFillShade="E6"/>
            <w:vAlign w:val="center"/>
          </w:tcPr>
          <w:p w14:paraId="482DD7C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367AED3A" w14:textId="77777777" w:rsidTr="00595C39">
        <w:trPr>
          <w:gridAfter w:val="1"/>
          <w:wAfter w:w="7" w:type="dxa"/>
          <w:trHeight w:val="255"/>
          <w:jc w:val="center"/>
        </w:trPr>
        <w:tc>
          <w:tcPr>
            <w:tcW w:w="2155" w:type="dxa"/>
            <w:shd w:val="clear" w:color="auto" w:fill="auto"/>
            <w:vAlign w:val="center"/>
          </w:tcPr>
          <w:p w14:paraId="16B9E052" w14:textId="77777777" w:rsidR="000F2738" w:rsidRPr="00DD230C" w:rsidRDefault="000F2738" w:rsidP="00821E91">
            <w:pPr>
              <w:widowControl w:val="0"/>
              <w:numPr>
                <w:ilvl w:val="0"/>
                <w:numId w:val="17"/>
              </w:numPr>
              <w:autoSpaceDE w:val="0"/>
              <w:autoSpaceDN w:val="0"/>
              <w:adjustRightInd w:val="0"/>
              <w:spacing w:after="0"/>
              <w:ind w:hanging="195"/>
              <w:contextualSpacing/>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Stage 1-2,                  (-) albuminuria</w:t>
            </w:r>
          </w:p>
        </w:tc>
        <w:tc>
          <w:tcPr>
            <w:tcW w:w="990" w:type="dxa"/>
            <w:shd w:val="clear" w:color="auto" w:fill="FFFFFF"/>
            <w:vAlign w:val="center"/>
          </w:tcPr>
          <w:p w14:paraId="73DF59D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1163" w:type="dxa"/>
            <w:shd w:val="clear" w:color="auto" w:fill="FFFFFF"/>
            <w:vAlign w:val="center"/>
          </w:tcPr>
          <w:p w14:paraId="5A85915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5124F44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11BCC49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11CF1C3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76" w:type="dxa"/>
            <w:shd w:val="clear" w:color="auto" w:fill="FFFFFF"/>
            <w:vAlign w:val="center"/>
          </w:tcPr>
          <w:p w14:paraId="517B374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7F03DCC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5239BD8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0C2881A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090240C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6ED1328E" w14:textId="77777777" w:rsidTr="00595C39">
        <w:trPr>
          <w:gridAfter w:val="1"/>
          <w:wAfter w:w="7" w:type="dxa"/>
          <w:trHeight w:val="255"/>
          <w:jc w:val="center"/>
        </w:trPr>
        <w:tc>
          <w:tcPr>
            <w:tcW w:w="2155" w:type="dxa"/>
            <w:shd w:val="clear" w:color="auto" w:fill="auto"/>
            <w:vAlign w:val="center"/>
          </w:tcPr>
          <w:p w14:paraId="24EB9DFE" w14:textId="77777777" w:rsidR="000F2738" w:rsidRPr="00DD230C" w:rsidRDefault="000F2738" w:rsidP="00821E91">
            <w:pPr>
              <w:widowControl w:val="0"/>
              <w:numPr>
                <w:ilvl w:val="0"/>
                <w:numId w:val="17"/>
              </w:numPr>
              <w:autoSpaceDE w:val="0"/>
              <w:autoSpaceDN w:val="0"/>
              <w:adjustRightInd w:val="0"/>
              <w:spacing w:after="0"/>
              <w:ind w:hanging="195"/>
              <w:contextualSpacing/>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Stage 1-2                (+) albuminuria</w:t>
            </w:r>
          </w:p>
        </w:tc>
        <w:tc>
          <w:tcPr>
            <w:tcW w:w="990" w:type="dxa"/>
            <w:shd w:val="clear" w:color="auto" w:fill="FFFFFF"/>
            <w:vAlign w:val="center"/>
          </w:tcPr>
          <w:p w14:paraId="7E18DD88"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63" w:type="dxa"/>
            <w:shd w:val="clear" w:color="auto" w:fill="FFFFFF"/>
            <w:vAlign w:val="center"/>
          </w:tcPr>
          <w:p w14:paraId="1AF7967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2753B749"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51AB288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2E3DFDE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1B41AE3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41C4D85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37AC0DB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5E981C3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0C7E92C4"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79247D3E" w14:textId="77777777" w:rsidTr="00595C39">
        <w:trPr>
          <w:gridAfter w:val="1"/>
          <w:wAfter w:w="7" w:type="dxa"/>
          <w:trHeight w:val="255"/>
          <w:jc w:val="center"/>
        </w:trPr>
        <w:tc>
          <w:tcPr>
            <w:tcW w:w="2155" w:type="dxa"/>
            <w:shd w:val="clear" w:color="auto" w:fill="auto"/>
            <w:vAlign w:val="center"/>
          </w:tcPr>
          <w:p w14:paraId="6A8D6B1E" w14:textId="77777777" w:rsidR="000F2738" w:rsidRPr="00DD230C" w:rsidRDefault="000F2738" w:rsidP="00821E91">
            <w:pPr>
              <w:widowControl w:val="0"/>
              <w:numPr>
                <w:ilvl w:val="0"/>
                <w:numId w:val="17"/>
              </w:numPr>
              <w:autoSpaceDE w:val="0"/>
              <w:autoSpaceDN w:val="0"/>
              <w:adjustRightInd w:val="0"/>
              <w:spacing w:after="0"/>
              <w:ind w:hanging="195"/>
              <w:contextualSpacing/>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Stage 3+                  (+/-) albuminuria</w:t>
            </w:r>
          </w:p>
        </w:tc>
        <w:tc>
          <w:tcPr>
            <w:tcW w:w="990" w:type="dxa"/>
            <w:shd w:val="clear" w:color="auto" w:fill="FFFFFF"/>
            <w:vAlign w:val="center"/>
          </w:tcPr>
          <w:p w14:paraId="4E534FB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63" w:type="dxa"/>
            <w:shd w:val="clear" w:color="auto" w:fill="FFFFFF"/>
            <w:vAlign w:val="center"/>
          </w:tcPr>
          <w:p w14:paraId="6D25F5F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6459364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4D843B4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64E1F0F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4AE566E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5DAA8B5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72B011A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67A2CC7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6B8C1C3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2BD84131" w14:textId="77777777" w:rsidTr="00595C39">
        <w:trPr>
          <w:gridAfter w:val="1"/>
          <w:wAfter w:w="7" w:type="dxa"/>
          <w:trHeight w:val="244"/>
          <w:jc w:val="center"/>
        </w:trPr>
        <w:tc>
          <w:tcPr>
            <w:tcW w:w="2155" w:type="dxa"/>
            <w:shd w:val="clear" w:color="auto" w:fill="auto"/>
            <w:vAlign w:val="center"/>
          </w:tcPr>
          <w:p w14:paraId="07E5A425" w14:textId="77777777"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History of stroke/TIA</w:t>
            </w:r>
          </w:p>
        </w:tc>
        <w:tc>
          <w:tcPr>
            <w:tcW w:w="990" w:type="dxa"/>
            <w:shd w:val="clear" w:color="auto" w:fill="FFFFFF"/>
            <w:vAlign w:val="center"/>
          </w:tcPr>
          <w:p w14:paraId="0FD6D338"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1163" w:type="dxa"/>
            <w:shd w:val="clear" w:color="auto" w:fill="FFFFFF"/>
            <w:vAlign w:val="center"/>
          </w:tcPr>
          <w:p w14:paraId="3F71D28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0CA64DF4"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6309330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72F66B0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7274D83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079691F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366A733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2CD1FD1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0EE615A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1FAA8E29" w14:textId="77777777" w:rsidTr="00595C39">
        <w:trPr>
          <w:gridAfter w:val="1"/>
          <w:wAfter w:w="7" w:type="dxa"/>
          <w:trHeight w:val="200"/>
          <w:jc w:val="center"/>
        </w:trPr>
        <w:tc>
          <w:tcPr>
            <w:tcW w:w="2155" w:type="dxa"/>
            <w:shd w:val="clear" w:color="auto" w:fill="auto"/>
            <w:vAlign w:val="center"/>
          </w:tcPr>
          <w:p w14:paraId="2249B2C5" w14:textId="77777777"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Resistant HTN</w:t>
            </w:r>
          </w:p>
        </w:tc>
        <w:tc>
          <w:tcPr>
            <w:tcW w:w="990" w:type="dxa"/>
            <w:shd w:val="clear" w:color="auto" w:fill="FFFFFF"/>
            <w:vAlign w:val="center"/>
          </w:tcPr>
          <w:p w14:paraId="005BEB5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1163" w:type="dxa"/>
            <w:shd w:val="clear" w:color="auto" w:fill="FFFFFF"/>
            <w:vAlign w:val="center"/>
          </w:tcPr>
          <w:p w14:paraId="6161005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716" w:type="dxa"/>
            <w:shd w:val="clear" w:color="auto" w:fill="FFFFFF"/>
            <w:vAlign w:val="center"/>
          </w:tcPr>
          <w:p w14:paraId="6155D96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358117B6"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347760C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76" w:type="dxa"/>
            <w:shd w:val="clear" w:color="auto" w:fill="FFFFFF"/>
            <w:vAlign w:val="center"/>
          </w:tcPr>
          <w:p w14:paraId="62C9A7C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46" w:type="dxa"/>
            <w:shd w:val="clear" w:color="auto" w:fill="FFFFFF"/>
            <w:vAlign w:val="center"/>
          </w:tcPr>
          <w:p w14:paraId="6D379C6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0977B3A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1194" w:type="dxa"/>
            <w:shd w:val="clear" w:color="auto" w:fill="FFFFFF"/>
            <w:vAlign w:val="center"/>
          </w:tcPr>
          <w:p w14:paraId="5032A80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1144" w:type="dxa"/>
            <w:shd w:val="clear" w:color="auto" w:fill="FFFFFF"/>
            <w:vAlign w:val="center"/>
          </w:tcPr>
          <w:p w14:paraId="42645F58"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III</w:t>
            </w:r>
          </w:p>
        </w:tc>
      </w:tr>
    </w:tbl>
    <w:p w14:paraId="7E72A1F6" w14:textId="76986F8E" w:rsidR="00660E91" w:rsidRDefault="00660E91" w:rsidP="00821E91">
      <w:pPr>
        <w:spacing w:after="0"/>
        <w:ind w:left="-630"/>
        <w:rPr>
          <w:rFonts w:ascii="Calibri" w:eastAsia="MS Mincho" w:hAnsi="Calibri" w:cs="Calibri"/>
          <w:bCs/>
          <w:sz w:val="20"/>
          <w:szCs w:val="20"/>
        </w:rPr>
      </w:pPr>
      <w:r>
        <w:rPr>
          <w:rFonts w:ascii="Calibri" w:eastAsia="MS Mincho" w:hAnsi="Calibri" w:cs="Calibri"/>
          <w:bCs/>
          <w:sz w:val="20"/>
          <w:szCs w:val="20"/>
        </w:rPr>
        <w:t xml:space="preserve">ACEi = angiotensin converting enzyme inhibitor; </w:t>
      </w:r>
      <w:r>
        <w:rPr>
          <w:rStyle w:val="normaltextrun"/>
          <w:rFonts w:asciiTheme="minorHAnsi" w:hAnsiTheme="minorHAnsi" w:cstheme="minorHAnsi"/>
          <w:color w:val="000000"/>
          <w:sz w:val="20"/>
          <w:szCs w:val="20"/>
          <w:bdr w:val="none" w:sz="0" w:space="0" w:color="auto" w:frame="1"/>
        </w:rPr>
        <w:t>ARB = angiotensin receptor blocker; CCB = calcium channel blocker;</w:t>
      </w:r>
      <w:r w:rsidR="008B7C78">
        <w:rPr>
          <w:rStyle w:val="normaltextrun"/>
          <w:rFonts w:asciiTheme="minorHAnsi" w:hAnsiTheme="minorHAnsi" w:cstheme="minorHAnsi"/>
          <w:color w:val="000000"/>
          <w:sz w:val="20"/>
          <w:szCs w:val="20"/>
          <w:bdr w:val="none" w:sz="0" w:space="0" w:color="auto" w:frame="1"/>
        </w:rPr>
        <w:t xml:space="preserve"> HFpEF = heart failure with preserved ejection fraction; HFrEF = heart failure with reduced ejection fraction;</w:t>
      </w:r>
      <w:r>
        <w:rPr>
          <w:rStyle w:val="normaltextrun"/>
          <w:rFonts w:asciiTheme="minorHAnsi" w:hAnsiTheme="minorHAnsi" w:cstheme="minorHAnsi"/>
          <w:color w:val="000000"/>
          <w:sz w:val="20"/>
          <w:szCs w:val="20"/>
          <w:bdr w:val="none" w:sz="0" w:space="0" w:color="auto" w:frame="1"/>
        </w:rPr>
        <w:t xml:space="preserve"> HTN = hypertension; MI = myocardial infarction; MRA = mineralocorticoid receptor antagonist; TIA = transient ischemic attack</w:t>
      </w:r>
    </w:p>
    <w:p w14:paraId="6D1C708A" w14:textId="02EDF8E9" w:rsidR="003573AD" w:rsidRPr="00DD230C" w:rsidRDefault="003573AD" w:rsidP="00821E91">
      <w:pPr>
        <w:spacing w:after="0"/>
        <w:ind w:left="-630"/>
        <w:rPr>
          <w:rFonts w:ascii="Calibri" w:eastAsia="MS Mincho" w:hAnsi="Calibri" w:cs="Calibri"/>
          <w:sz w:val="20"/>
          <w:szCs w:val="20"/>
        </w:rPr>
      </w:pPr>
      <w:r w:rsidRPr="00DD230C">
        <w:rPr>
          <w:rFonts w:ascii="Calibri" w:eastAsia="MS Mincho" w:hAnsi="Calibri" w:cs="Calibri"/>
          <w:bCs/>
          <w:sz w:val="20"/>
          <w:szCs w:val="20"/>
        </w:rPr>
        <w:t>I = primary agent, II = secondary agent, III = tertiary agent</w:t>
      </w:r>
    </w:p>
    <w:p w14:paraId="307E575E" w14:textId="773A1F78" w:rsidR="003573AD" w:rsidRPr="00DD230C" w:rsidRDefault="003573AD" w:rsidP="00821E91">
      <w:pPr>
        <w:tabs>
          <w:tab w:val="left" w:pos="270"/>
        </w:tabs>
        <w:spacing w:after="0"/>
        <w:ind w:left="-630"/>
        <w:rPr>
          <w:rFonts w:ascii="Calibri" w:eastAsia="MS Mincho" w:hAnsi="Calibri" w:cs="Calibri"/>
          <w:sz w:val="20"/>
          <w:szCs w:val="20"/>
        </w:rPr>
      </w:pPr>
      <w:r w:rsidRPr="00DD230C">
        <w:rPr>
          <w:rFonts w:ascii="Calibri" w:eastAsia="MS Mincho" w:hAnsi="Calibri" w:cs="Calibri"/>
          <w:sz w:val="20"/>
          <w:szCs w:val="20"/>
        </w:rPr>
        <w:t>*</w:t>
      </w:r>
      <w:r w:rsidR="00C24691">
        <w:rPr>
          <w:rFonts w:ascii="Calibri" w:eastAsia="MS Mincho" w:hAnsi="Calibri" w:cs="Calibri"/>
          <w:sz w:val="20"/>
          <w:szCs w:val="20"/>
        </w:rPr>
        <w:t>Preferred B-blockers include</w:t>
      </w:r>
      <w:r w:rsidRPr="00DD230C">
        <w:rPr>
          <w:rFonts w:ascii="Calibri" w:eastAsia="MS Mincho" w:hAnsi="Calibri" w:cs="Calibri"/>
          <w:sz w:val="20"/>
          <w:szCs w:val="20"/>
        </w:rPr>
        <w:t xml:space="preserve"> metoprolol succinate, carvedilol, </w:t>
      </w:r>
      <w:r w:rsidR="00595C39">
        <w:rPr>
          <w:rFonts w:ascii="Calibri" w:eastAsia="MS Mincho" w:hAnsi="Calibri" w:cs="Calibri"/>
          <w:sz w:val="20"/>
          <w:szCs w:val="20"/>
        </w:rPr>
        <w:t xml:space="preserve">or </w:t>
      </w:r>
      <w:r w:rsidRPr="00DD230C">
        <w:rPr>
          <w:rFonts w:ascii="Calibri" w:eastAsia="MS Mincho" w:hAnsi="Calibri" w:cs="Calibri"/>
          <w:sz w:val="20"/>
          <w:szCs w:val="20"/>
        </w:rPr>
        <w:t>bisoprolol</w:t>
      </w:r>
      <w:r w:rsidR="00C24691">
        <w:rPr>
          <w:rFonts w:ascii="Calibri" w:eastAsia="MS Mincho" w:hAnsi="Calibri" w:cs="Calibri"/>
          <w:sz w:val="20"/>
          <w:szCs w:val="20"/>
        </w:rPr>
        <w:t>; ACEi or ARB used when administration of angiotensin receptor/neprilysin inhibitor (ARNI) not possible</w:t>
      </w:r>
    </w:p>
    <w:p w14:paraId="56FD7AA1" w14:textId="69EC0D7F" w:rsidR="00595C39" w:rsidRDefault="00595C39" w:rsidP="00595C39">
      <w:pPr>
        <w:tabs>
          <w:tab w:val="left" w:pos="270"/>
        </w:tabs>
        <w:spacing w:after="0"/>
        <w:ind w:left="-630"/>
        <w:rPr>
          <w:rFonts w:ascii="Calibri" w:eastAsia="MS Mincho" w:hAnsi="Calibri" w:cs="Calibri"/>
          <w:sz w:val="20"/>
          <w:szCs w:val="20"/>
        </w:rPr>
      </w:pPr>
      <w:r w:rsidRPr="00DD230C">
        <w:rPr>
          <w:rFonts w:ascii="Calibri" w:eastAsia="MS Mincho" w:hAnsi="Calibri" w:cs="Calibri"/>
          <w:sz w:val="20"/>
          <w:szCs w:val="20"/>
        </w:rPr>
        <w:t># When an ACEi and ARB are both an option, only one will be used (</w:t>
      </w:r>
      <w:r>
        <w:rPr>
          <w:rFonts w:ascii="Calibri" w:eastAsia="MS Mincho" w:hAnsi="Calibri" w:cs="Calibri"/>
          <w:sz w:val="20"/>
          <w:szCs w:val="20"/>
        </w:rPr>
        <w:t>i.e. avoid combination of ACEi + ARB</w:t>
      </w:r>
      <w:r w:rsidRPr="00DD230C">
        <w:rPr>
          <w:rFonts w:ascii="Calibri" w:eastAsia="MS Mincho" w:hAnsi="Calibri" w:cs="Calibri"/>
          <w:sz w:val="20"/>
          <w:szCs w:val="20"/>
        </w:rPr>
        <w:t>)</w:t>
      </w:r>
    </w:p>
    <w:p w14:paraId="38BC122F" w14:textId="5B40D1CE" w:rsidR="00595C39" w:rsidRPr="00DD230C" w:rsidRDefault="00595C39" w:rsidP="00595C39">
      <w:pPr>
        <w:tabs>
          <w:tab w:val="left" w:pos="270"/>
        </w:tabs>
        <w:spacing w:after="0"/>
        <w:ind w:left="-630"/>
        <w:rPr>
          <w:rFonts w:ascii="Calibri" w:eastAsia="MS Mincho" w:hAnsi="Calibri" w:cs="Calibri"/>
          <w:sz w:val="20"/>
          <w:szCs w:val="20"/>
        </w:rPr>
      </w:pPr>
      <w:r w:rsidRPr="00DD230C">
        <w:rPr>
          <w:rFonts w:ascii="Calibri" w:eastAsia="MS Mincho" w:hAnsi="Calibri" w:cs="Calibri"/>
          <w:sz w:val="20"/>
          <w:szCs w:val="20"/>
        </w:rPr>
        <w:t xml:space="preserve">^Guideline directed management and therapy B-blockers for </w:t>
      </w:r>
      <w:r w:rsidR="008B7C78">
        <w:rPr>
          <w:rFonts w:ascii="Calibri" w:eastAsia="MS Mincho" w:hAnsi="Calibri" w:cs="Calibri"/>
          <w:sz w:val="20"/>
          <w:szCs w:val="20"/>
        </w:rPr>
        <w:t>blood pressure</w:t>
      </w:r>
      <w:r w:rsidRPr="00DD230C">
        <w:rPr>
          <w:rFonts w:ascii="Calibri" w:eastAsia="MS Mincho" w:hAnsi="Calibri" w:cs="Calibri"/>
          <w:sz w:val="20"/>
          <w:szCs w:val="20"/>
        </w:rPr>
        <w:t xml:space="preserve"> control or relief of angina include carvedilol, metoprolol tartrate, metoprolol succinate, nadolol, bisoprolol, propranolol, and timolol</w:t>
      </w:r>
    </w:p>
    <w:p w14:paraId="36D452B8" w14:textId="3BC1D8B5" w:rsidR="003573AD" w:rsidRPr="00DD230C" w:rsidRDefault="003573AD" w:rsidP="00821E91">
      <w:pPr>
        <w:tabs>
          <w:tab w:val="left" w:pos="270"/>
        </w:tabs>
        <w:spacing w:after="0"/>
        <w:ind w:left="-630"/>
        <w:rPr>
          <w:rFonts w:ascii="Calibri" w:eastAsia="MS Mincho" w:hAnsi="Calibri" w:cs="Calibri"/>
          <w:b/>
          <w:sz w:val="20"/>
          <w:szCs w:val="20"/>
        </w:rPr>
      </w:pPr>
    </w:p>
    <w:p w14:paraId="7AB70C06" w14:textId="77777777" w:rsidR="00290E62" w:rsidRPr="00DD230C" w:rsidRDefault="00290E62">
      <w:pPr>
        <w:spacing w:after="0"/>
        <w:rPr>
          <w:rFonts w:asciiTheme="minorHAnsi" w:hAnsiTheme="minorHAnsi" w:cstheme="minorHAnsi"/>
          <w:b/>
          <w:bCs/>
          <w:sz w:val="20"/>
          <w:szCs w:val="20"/>
          <w:u w:val="single"/>
        </w:rPr>
      </w:pPr>
      <w:r w:rsidRPr="00DD230C">
        <w:rPr>
          <w:rFonts w:asciiTheme="minorHAnsi" w:hAnsiTheme="minorHAnsi" w:cstheme="minorHAnsi"/>
          <w:b/>
          <w:bCs/>
          <w:sz w:val="20"/>
          <w:szCs w:val="20"/>
          <w:u w:val="single"/>
        </w:rPr>
        <w:br w:type="page"/>
      </w:r>
    </w:p>
    <w:p w14:paraId="48706A0D" w14:textId="78EEC2E0" w:rsidR="00290E62" w:rsidRDefault="00290E62" w:rsidP="00290E62">
      <w:pPr>
        <w:rPr>
          <w:rFonts w:asciiTheme="minorHAnsi" w:hAnsiTheme="minorHAnsi" w:cstheme="minorHAnsi"/>
          <w:b/>
          <w:bCs/>
          <w:sz w:val="22"/>
          <w:szCs w:val="22"/>
          <w:u w:val="single"/>
        </w:rPr>
      </w:pPr>
      <w:r w:rsidRPr="000A2882">
        <w:rPr>
          <w:rFonts w:asciiTheme="minorHAnsi" w:hAnsiTheme="minorHAnsi" w:cstheme="minorHAnsi"/>
          <w:b/>
          <w:bCs/>
          <w:sz w:val="22"/>
          <w:szCs w:val="22"/>
          <w:u w:val="single"/>
        </w:rPr>
        <w:lastRenderedPageBreak/>
        <w:t>References</w:t>
      </w:r>
    </w:p>
    <w:p w14:paraId="1BA1431A" w14:textId="77777777" w:rsidR="00290E62" w:rsidRDefault="00290E62" w:rsidP="00290E62">
      <w:pPr>
        <w:pStyle w:val="ListParagraph"/>
        <w:widowControl/>
        <w:numPr>
          <w:ilvl w:val="3"/>
          <w:numId w:val="18"/>
        </w:numPr>
        <w:autoSpaceDE/>
        <w:autoSpaceDN/>
        <w:ind w:left="540" w:hanging="450"/>
        <w:contextualSpacing/>
        <w:rPr>
          <w:rFonts w:ascii="Calibri" w:hAnsi="Calibri" w:cs="Calibri"/>
        </w:rPr>
      </w:pPr>
      <w:r w:rsidRPr="00B91203">
        <w:rPr>
          <w:rFonts w:ascii="Calibri" w:hAnsi="Calibri" w:cs="Calibri"/>
        </w:rPr>
        <w:t xml:space="preserve">2017 ACC/AHA/AAPA/ABC/ACPM/AGS/APhA/ASH/ASPC/NMA/PCNA Guideline for the Prevention, Detection, Evaluation, and Management of High Blood Pressure in Adults: A Report of the American College of Cardiology/American Heart Association Task Force on Clinical Practice Guidelines. </w:t>
      </w:r>
      <w:r w:rsidRPr="00B91203">
        <w:rPr>
          <w:rFonts w:ascii="Calibri" w:hAnsi="Calibri" w:cs="Calibri"/>
          <w:i/>
          <w:iCs/>
        </w:rPr>
        <w:t>J Am Coll Cardiol</w:t>
      </w:r>
      <w:r w:rsidRPr="00B91203">
        <w:rPr>
          <w:rFonts w:ascii="Calibri" w:hAnsi="Calibri" w:cs="Calibri"/>
        </w:rPr>
        <w:t xml:space="preserve"> 2018;71:e127-e248</w:t>
      </w:r>
    </w:p>
    <w:p w14:paraId="1497EFC6" w14:textId="77777777" w:rsidR="00290E62" w:rsidRPr="00B91203" w:rsidRDefault="00290E62" w:rsidP="00290E62">
      <w:pPr>
        <w:numPr>
          <w:ilvl w:val="3"/>
          <w:numId w:val="18"/>
        </w:numPr>
        <w:spacing w:after="0"/>
        <w:ind w:left="540" w:hanging="450"/>
        <w:rPr>
          <w:rFonts w:ascii="Calibri" w:hAnsi="Calibri" w:cs="Calibri"/>
          <w:sz w:val="22"/>
          <w:szCs w:val="22"/>
        </w:rPr>
      </w:pPr>
      <w:r w:rsidRPr="00B91203">
        <w:rPr>
          <w:rFonts w:ascii="Calibri" w:hAnsi="Calibri" w:cs="Calibri"/>
          <w:sz w:val="22"/>
          <w:szCs w:val="22"/>
        </w:rPr>
        <w:t>Carey RM, Calhoun DA, Bakris GL, et al. Resistant Hypertension: Detection, Evaluation, and Management: A Scientific Statement From the American Heart Association. Hypertension. 2018;72(5):e53-e90.</w:t>
      </w:r>
    </w:p>
    <w:p w14:paraId="1A08389C" w14:textId="77777777" w:rsidR="00290E62" w:rsidRPr="00831E3D" w:rsidRDefault="00290E62" w:rsidP="004B028A">
      <w:pPr>
        <w:contextualSpacing/>
        <w:rPr>
          <w:rFonts w:asciiTheme="minorHAnsi" w:hAnsiTheme="minorHAnsi" w:cstheme="minorHAnsi"/>
          <w:sz w:val="22"/>
          <w:szCs w:val="22"/>
        </w:rPr>
      </w:pPr>
    </w:p>
    <w:p w14:paraId="5B339493" w14:textId="38A3ED40" w:rsidR="00C36525" w:rsidRPr="007F74E8" w:rsidRDefault="00277510" w:rsidP="00C36525">
      <w:pPr>
        <w:contextualSpacing/>
        <w:rPr>
          <w:rFonts w:asciiTheme="minorHAnsi" w:hAnsiTheme="minorHAnsi" w:cstheme="minorHAnsi"/>
          <w:b/>
        </w:rPr>
      </w:pPr>
      <w:r w:rsidRPr="00C36525">
        <w:rPr>
          <w:rFonts w:asciiTheme="minorHAnsi" w:hAnsiTheme="minorHAnsi" w:cstheme="minorHAnsi"/>
          <w:b/>
          <w:sz w:val="22"/>
          <w:szCs w:val="22"/>
        </w:rPr>
        <w:br w:type="page"/>
      </w:r>
      <w:r w:rsidR="00C36525" w:rsidRPr="00F53D64">
        <w:rPr>
          <w:rFonts w:asciiTheme="minorHAnsi" w:hAnsiTheme="minorHAnsi" w:cstheme="minorHAnsi"/>
          <w:b/>
        </w:rPr>
        <w:lastRenderedPageBreak/>
        <w:t xml:space="preserve">Figure 1: </w:t>
      </w:r>
      <w:r w:rsidR="004E0514" w:rsidRPr="00F53D64">
        <w:rPr>
          <w:rFonts w:asciiTheme="minorHAnsi" w:hAnsiTheme="minorHAnsi" w:cstheme="minorHAnsi"/>
          <w:b/>
        </w:rPr>
        <w:t>Accurate Blood Pressure Measurement</w:t>
      </w:r>
    </w:p>
    <w:tbl>
      <w:tblPr>
        <w:tblStyle w:val="TableGrid"/>
        <w:tblW w:w="0" w:type="auto"/>
        <w:tblLook w:val="04A0" w:firstRow="1" w:lastRow="0" w:firstColumn="1" w:lastColumn="0" w:noHBand="0" w:noVBand="1"/>
      </w:tblPr>
      <w:tblGrid>
        <w:gridCol w:w="9350"/>
      </w:tblGrid>
      <w:tr w:rsidR="003573AD" w14:paraId="59F7D089" w14:textId="77777777" w:rsidTr="003573AD">
        <w:tc>
          <w:tcPr>
            <w:tcW w:w="9350" w:type="dxa"/>
          </w:tcPr>
          <w:p w14:paraId="53E835B1" w14:textId="77777777" w:rsidR="003573AD" w:rsidRPr="000F42F2" w:rsidRDefault="003573AD" w:rsidP="003573AD">
            <w:pPr>
              <w:widowControl w:val="0"/>
              <w:numPr>
                <w:ilvl w:val="0"/>
                <w:numId w:val="16"/>
              </w:numPr>
              <w:autoSpaceDE w:val="0"/>
              <w:autoSpaceDN w:val="0"/>
              <w:adjustRightInd w:val="0"/>
              <w:spacing w:after="0"/>
              <w:ind w:left="720" w:right="180"/>
              <w:rPr>
                <w:rFonts w:ascii="Calibri" w:eastAsia="MS Mincho" w:hAnsi="Calibri" w:cs="Calibri"/>
                <w:b/>
                <w:bCs/>
                <w:sz w:val="22"/>
                <w:szCs w:val="22"/>
              </w:rPr>
            </w:pPr>
            <w:r w:rsidRPr="000F42F2">
              <w:rPr>
                <w:rFonts w:ascii="Calibri" w:eastAsia="MS Mincho" w:hAnsi="Calibri" w:cs="Calibri"/>
                <w:b/>
                <w:bCs/>
                <w:sz w:val="22"/>
                <w:szCs w:val="22"/>
              </w:rPr>
              <w:t>Properly prepare the patient</w:t>
            </w:r>
          </w:p>
          <w:p w14:paraId="0E609A66"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
                <w:bCs/>
                <w:sz w:val="22"/>
                <w:szCs w:val="22"/>
              </w:rPr>
            </w:pPr>
            <w:r w:rsidRPr="000F42F2">
              <w:rPr>
                <w:rFonts w:ascii="Calibri" w:eastAsia="MS Mincho" w:hAnsi="Calibri" w:cs="Calibri"/>
                <w:bCs/>
                <w:sz w:val="22"/>
                <w:szCs w:val="22"/>
              </w:rPr>
              <w:t>Have patient relax, sitting in a chair with feet flat on floor, back supported, for at least 5 minutes</w:t>
            </w:r>
          </w:p>
          <w:p w14:paraId="2B0FFF64"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 xml:space="preserve">Avoid caffeine, tobacco use, or exercise within 30 minutes of BP measurement </w:t>
            </w:r>
          </w:p>
          <w:p w14:paraId="1FC56BFB"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Ensure patient has emptied his/her bladder</w:t>
            </w:r>
          </w:p>
          <w:p w14:paraId="73CC4F0D"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Neither the patient nor the clinician should talk during the measurement</w:t>
            </w:r>
          </w:p>
          <w:p w14:paraId="0001A1E2" w14:textId="77777777" w:rsidR="003573AD"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Remove all clothing covering the location of cuff placement</w:t>
            </w:r>
          </w:p>
          <w:p w14:paraId="2B7FAAEC" w14:textId="77777777" w:rsidR="006419E3" w:rsidRPr="000F42F2" w:rsidRDefault="006419E3" w:rsidP="006419E3">
            <w:pPr>
              <w:widowControl w:val="0"/>
              <w:autoSpaceDE w:val="0"/>
              <w:autoSpaceDN w:val="0"/>
              <w:adjustRightInd w:val="0"/>
              <w:spacing w:after="0"/>
              <w:ind w:left="1080" w:right="180"/>
              <w:rPr>
                <w:rFonts w:ascii="Calibri" w:eastAsia="MS Mincho" w:hAnsi="Calibri" w:cs="Calibri"/>
                <w:bCs/>
                <w:sz w:val="22"/>
                <w:szCs w:val="22"/>
              </w:rPr>
            </w:pPr>
          </w:p>
          <w:p w14:paraId="59AC0DD4" w14:textId="479D8520" w:rsidR="003573AD" w:rsidRPr="000F42F2" w:rsidRDefault="003573AD" w:rsidP="003573AD">
            <w:pPr>
              <w:widowControl w:val="0"/>
              <w:numPr>
                <w:ilvl w:val="0"/>
                <w:numId w:val="16"/>
              </w:numPr>
              <w:autoSpaceDE w:val="0"/>
              <w:autoSpaceDN w:val="0"/>
              <w:adjustRightInd w:val="0"/>
              <w:spacing w:after="0"/>
              <w:ind w:left="720" w:right="180"/>
              <w:rPr>
                <w:rFonts w:ascii="Calibri" w:eastAsia="MS Mincho" w:hAnsi="Calibri" w:cs="Calibri"/>
                <w:b/>
                <w:bCs/>
                <w:sz w:val="22"/>
                <w:szCs w:val="22"/>
              </w:rPr>
            </w:pPr>
            <w:r w:rsidRPr="000F42F2">
              <w:rPr>
                <w:rFonts w:ascii="Calibri" w:eastAsia="MS Mincho" w:hAnsi="Calibri" w:cs="Calibri"/>
                <w:b/>
                <w:bCs/>
                <w:sz w:val="22"/>
                <w:szCs w:val="22"/>
              </w:rPr>
              <w:t>Use proper technique for BP measurement</w:t>
            </w:r>
          </w:p>
          <w:p w14:paraId="389B56BC" w14:textId="514874DD"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 xml:space="preserve">Use a BP measurement device that has been validated and </w:t>
            </w:r>
            <w:r w:rsidR="00D741A6">
              <w:rPr>
                <w:rFonts w:ascii="Calibri" w:eastAsia="MS Mincho" w:hAnsi="Calibri" w:cs="Calibri"/>
                <w:bCs/>
                <w:sz w:val="22"/>
                <w:szCs w:val="22"/>
              </w:rPr>
              <w:t>en</w:t>
            </w:r>
            <w:r w:rsidRPr="000F42F2">
              <w:rPr>
                <w:rFonts w:ascii="Calibri" w:eastAsia="MS Mincho" w:hAnsi="Calibri" w:cs="Calibri"/>
                <w:bCs/>
                <w:sz w:val="22"/>
                <w:szCs w:val="22"/>
              </w:rPr>
              <w:t>sure that the device is calibrated periodically</w:t>
            </w:r>
          </w:p>
          <w:p w14:paraId="3A5B2E08"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Support the patient’s arm (e.g. resting on a desk)</w:t>
            </w:r>
          </w:p>
          <w:p w14:paraId="5701CA89"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Position the middle of the cuff on the patient’s upper arm at the level of the right atrium (midpoint of the sternum)</w:t>
            </w:r>
          </w:p>
          <w:p w14:paraId="7AC3DD9B"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Use the correct cuff size, such that the bladder encircles 80% of the arm and note if a larger- or smaller-than-normal cuff size is used</w:t>
            </w:r>
          </w:p>
          <w:p w14:paraId="47197C78"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Place the cuff on bare skin</w:t>
            </w:r>
          </w:p>
          <w:p w14:paraId="37C8D67E" w14:textId="77777777" w:rsidR="003573AD"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Either the stethoscope diaphragm or bell may be used for auscultatory readings</w:t>
            </w:r>
          </w:p>
          <w:p w14:paraId="5F3F28B7" w14:textId="77777777" w:rsidR="006419E3" w:rsidRPr="000F42F2" w:rsidRDefault="006419E3" w:rsidP="006419E3">
            <w:pPr>
              <w:widowControl w:val="0"/>
              <w:autoSpaceDE w:val="0"/>
              <w:autoSpaceDN w:val="0"/>
              <w:adjustRightInd w:val="0"/>
              <w:spacing w:after="0"/>
              <w:ind w:left="1080" w:right="180"/>
              <w:rPr>
                <w:rFonts w:ascii="Calibri" w:eastAsia="MS Mincho" w:hAnsi="Calibri" w:cs="Calibri"/>
                <w:bCs/>
                <w:sz w:val="22"/>
                <w:szCs w:val="22"/>
              </w:rPr>
            </w:pPr>
          </w:p>
          <w:p w14:paraId="2ED983E1" w14:textId="59337C77" w:rsidR="003573AD" w:rsidRPr="000F42F2" w:rsidRDefault="003573AD" w:rsidP="003573AD">
            <w:pPr>
              <w:widowControl w:val="0"/>
              <w:numPr>
                <w:ilvl w:val="0"/>
                <w:numId w:val="16"/>
              </w:numPr>
              <w:autoSpaceDE w:val="0"/>
              <w:autoSpaceDN w:val="0"/>
              <w:adjustRightInd w:val="0"/>
              <w:spacing w:after="0"/>
              <w:ind w:left="720" w:right="180"/>
              <w:rPr>
                <w:rFonts w:ascii="Calibri" w:eastAsia="MS Mincho" w:hAnsi="Calibri" w:cs="Calibri"/>
                <w:b/>
                <w:bCs/>
                <w:sz w:val="22"/>
                <w:szCs w:val="22"/>
              </w:rPr>
            </w:pPr>
            <w:r w:rsidRPr="000F42F2">
              <w:rPr>
                <w:rFonts w:ascii="Calibri" w:eastAsia="MS Mincho" w:hAnsi="Calibri" w:cs="Calibri"/>
                <w:b/>
                <w:bCs/>
                <w:sz w:val="22"/>
                <w:szCs w:val="22"/>
              </w:rPr>
              <w:t>Take the proper measurements needed for diagnosis and treatment of elevated BP</w:t>
            </w:r>
            <w:r w:rsidR="00F53D64">
              <w:rPr>
                <w:rFonts w:ascii="Calibri" w:eastAsia="MS Mincho" w:hAnsi="Calibri" w:cs="Calibri"/>
                <w:b/>
                <w:bCs/>
                <w:sz w:val="22"/>
                <w:szCs w:val="22"/>
              </w:rPr>
              <w:t>/hypertension</w:t>
            </w:r>
          </w:p>
          <w:p w14:paraId="133E722E" w14:textId="72FA0DA3" w:rsidR="00F53D64" w:rsidRDefault="00F53D64"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Pr>
                <w:rFonts w:ascii="Calibri" w:eastAsia="MS Mincho" w:hAnsi="Calibri" w:cs="Calibri"/>
                <w:bCs/>
                <w:sz w:val="22"/>
                <w:szCs w:val="22"/>
              </w:rPr>
              <w:t>Record BP in both arms at the first visit and use the arm that gives the higher reading for subsequent readings</w:t>
            </w:r>
          </w:p>
          <w:p w14:paraId="69A51BFD" w14:textId="273ABBAC"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Separate repeated measurements by at least 1 minute</w:t>
            </w:r>
          </w:p>
          <w:p w14:paraId="7E2F9D29"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 xml:space="preserve">For auscultatory determinations, use a palpated estimate of radial pulse obliteration pressure to estimate SBP; Inflate the cuff 20-30 mm Hg </w:t>
            </w:r>
            <w:r>
              <w:rPr>
                <w:rFonts w:ascii="Calibri" w:eastAsia="MS Mincho" w:hAnsi="Calibri" w:cs="Calibri"/>
                <w:bCs/>
                <w:sz w:val="22"/>
                <w:szCs w:val="22"/>
              </w:rPr>
              <w:t>above this level for an ausculta</w:t>
            </w:r>
            <w:r w:rsidRPr="000F42F2">
              <w:rPr>
                <w:rFonts w:ascii="Calibri" w:eastAsia="MS Mincho" w:hAnsi="Calibri" w:cs="Calibri"/>
                <w:bCs/>
                <w:sz w:val="22"/>
                <w:szCs w:val="22"/>
              </w:rPr>
              <w:t>tory determination of the BP level</w:t>
            </w:r>
          </w:p>
          <w:p w14:paraId="03AD2F73" w14:textId="77777777" w:rsidR="003573AD"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 xml:space="preserve">For auscultatory readings, deflate the cuff pressure 2 mm Hg per second and listen for Korotkoff sounds </w:t>
            </w:r>
          </w:p>
          <w:p w14:paraId="34E969B4" w14:textId="77777777" w:rsidR="006419E3" w:rsidRPr="000F42F2" w:rsidRDefault="006419E3" w:rsidP="006419E3">
            <w:pPr>
              <w:widowControl w:val="0"/>
              <w:autoSpaceDE w:val="0"/>
              <w:autoSpaceDN w:val="0"/>
              <w:adjustRightInd w:val="0"/>
              <w:spacing w:after="0"/>
              <w:ind w:left="1080" w:right="180"/>
              <w:rPr>
                <w:rFonts w:ascii="Calibri" w:eastAsia="MS Mincho" w:hAnsi="Calibri" w:cs="Calibri"/>
                <w:bCs/>
                <w:sz w:val="22"/>
                <w:szCs w:val="22"/>
              </w:rPr>
            </w:pPr>
          </w:p>
          <w:p w14:paraId="26020481" w14:textId="71ADB4C0" w:rsidR="003573AD" w:rsidRDefault="00F53D64" w:rsidP="006419E3">
            <w:pPr>
              <w:widowControl w:val="0"/>
              <w:numPr>
                <w:ilvl w:val="0"/>
                <w:numId w:val="16"/>
              </w:numPr>
              <w:autoSpaceDE w:val="0"/>
              <w:autoSpaceDN w:val="0"/>
              <w:adjustRightInd w:val="0"/>
              <w:spacing w:after="0"/>
              <w:ind w:left="720" w:right="180"/>
              <w:rPr>
                <w:rFonts w:ascii="Calibri" w:eastAsia="MS Mincho" w:hAnsi="Calibri" w:cs="Calibri"/>
                <w:b/>
                <w:bCs/>
                <w:sz w:val="22"/>
                <w:szCs w:val="22"/>
              </w:rPr>
            </w:pPr>
            <w:r>
              <w:rPr>
                <w:rFonts w:ascii="Calibri" w:eastAsia="MS Mincho" w:hAnsi="Calibri" w:cs="Calibri"/>
                <w:b/>
                <w:bCs/>
                <w:sz w:val="22"/>
                <w:szCs w:val="22"/>
              </w:rPr>
              <w:t>Properly document accurate BP readings</w:t>
            </w:r>
          </w:p>
          <w:p w14:paraId="7749EE50" w14:textId="28932DFD" w:rsidR="00F53D64" w:rsidRPr="00F53D64" w:rsidRDefault="00F53D64" w:rsidP="006419E3">
            <w:pPr>
              <w:widowControl w:val="0"/>
              <w:numPr>
                <w:ilvl w:val="1"/>
                <w:numId w:val="16"/>
              </w:numPr>
              <w:autoSpaceDE w:val="0"/>
              <w:autoSpaceDN w:val="0"/>
              <w:adjustRightInd w:val="0"/>
              <w:spacing w:after="0"/>
              <w:ind w:right="180"/>
              <w:rPr>
                <w:rFonts w:ascii="Calibri" w:eastAsia="MS Mincho" w:hAnsi="Calibri" w:cs="Calibri"/>
                <w:b/>
                <w:bCs/>
                <w:sz w:val="22"/>
                <w:szCs w:val="22"/>
              </w:rPr>
            </w:pPr>
            <w:r>
              <w:rPr>
                <w:rFonts w:ascii="Calibri" w:eastAsia="MS Mincho" w:hAnsi="Calibri" w:cs="Calibri"/>
                <w:sz w:val="22"/>
                <w:szCs w:val="22"/>
              </w:rPr>
              <w:t xml:space="preserve">Record the systolic and diastolic </w:t>
            </w:r>
            <w:r w:rsidR="00C24691">
              <w:rPr>
                <w:rFonts w:ascii="Calibri" w:eastAsia="MS Mincho" w:hAnsi="Calibri" w:cs="Calibri"/>
                <w:sz w:val="22"/>
                <w:szCs w:val="22"/>
              </w:rPr>
              <w:t>BP</w:t>
            </w:r>
            <w:r>
              <w:rPr>
                <w:rFonts w:ascii="Calibri" w:eastAsia="MS Mincho" w:hAnsi="Calibri" w:cs="Calibri"/>
                <w:sz w:val="22"/>
                <w:szCs w:val="22"/>
              </w:rPr>
              <w:t>; i</w:t>
            </w:r>
            <w:r w:rsidR="00C24691">
              <w:rPr>
                <w:rFonts w:ascii="Calibri" w:eastAsia="MS Mincho" w:hAnsi="Calibri" w:cs="Calibri"/>
                <w:sz w:val="22"/>
                <w:szCs w:val="22"/>
              </w:rPr>
              <w:t>f</w:t>
            </w:r>
            <w:r>
              <w:rPr>
                <w:rFonts w:ascii="Calibri" w:eastAsia="MS Mincho" w:hAnsi="Calibri" w:cs="Calibri"/>
                <w:sz w:val="22"/>
                <w:szCs w:val="22"/>
              </w:rPr>
              <w:t xml:space="preserve"> using the auscultatory technique, record systolic and diastolic </w:t>
            </w:r>
            <w:r w:rsidR="00C24691">
              <w:rPr>
                <w:rFonts w:ascii="Calibri" w:eastAsia="MS Mincho" w:hAnsi="Calibri" w:cs="Calibri"/>
                <w:sz w:val="22"/>
                <w:szCs w:val="22"/>
              </w:rPr>
              <w:t>BP</w:t>
            </w:r>
            <w:r>
              <w:rPr>
                <w:rFonts w:ascii="Calibri" w:eastAsia="MS Mincho" w:hAnsi="Calibri" w:cs="Calibri"/>
                <w:sz w:val="22"/>
                <w:szCs w:val="22"/>
              </w:rPr>
              <w:t xml:space="preserve"> as onset of the first Korotkoff sound and disappearance of all Korotkoff sounds, respectively, using the nearest even number</w:t>
            </w:r>
          </w:p>
          <w:p w14:paraId="35F65CF8" w14:textId="5227DC71" w:rsidR="00F53D64" w:rsidRPr="006419E3" w:rsidRDefault="00F53D64" w:rsidP="006419E3">
            <w:pPr>
              <w:widowControl w:val="0"/>
              <w:numPr>
                <w:ilvl w:val="1"/>
                <w:numId w:val="16"/>
              </w:numPr>
              <w:autoSpaceDE w:val="0"/>
              <w:autoSpaceDN w:val="0"/>
              <w:adjustRightInd w:val="0"/>
              <w:spacing w:after="0"/>
              <w:ind w:right="180"/>
              <w:rPr>
                <w:rFonts w:ascii="Calibri" w:eastAsia="MS Mincho" w:hAnsi="Calibri" w:cs="Calibri"/>
                <w:b/>
                <w:bCs/>
                <w:sz w:val="22"/>
                <w:szCs w:val="22"/>
              </w:rPr>
            </w:pPr>
            <w:r>
              <w:rPr>
                <w:rFonts w:ascii="Calibri" w:eastAsia="MS Mincho" w:hAnsi="Calibri" w:cs="Calibri"/>
                <w:sz w:val="22"/>
                <w:szCs w:val="22"/>
              </w:rPr>
              <w:t xml:space="preserve">Note the time of most recent </w:t>
            </w:r>
            <w:r w:rsidR="00C24691">
              <w:rPr>
                <w:rFonts w:ascii="Calibri" w:eastAsia="MS Mincho" w:hAnsi="Calibri" w:cs="Calibri"/>
                <w:sz w:val="22"/>
                <w:szCs w:val="22"/>
              </w:rPr>
              <w:t>BP</w:t>
            </w:r>
            <w:r>
              <w:rPr>
                <w:rFonts w:ascii="Calibri" w:eastAsia="MS Mincho" w:hAnsi="Calibri" w:cs="Calibri"/>
                <w:sz w:val="22"/>
                <w:szCs w:val="22"/>
              </w:rPr>
              <w:t xml:space="preserve"> medication administration</w:t>
            </w:r>
            <w:r w:rsidR="00C24691">
              <w:rPr>
                <w:rFonts w:ascii="Calibri" w:eastAsia="MS Mincho" w:hAnsi="Calibri" w:cs="Calibri"/>
                <w:sz w:val="22"/>
                <w:szCs w:val="22"/>
              </w:rPr>
              <w:t xml:space="preserve"> (if applicable)</w:t>
            </w:r>
          </w:p>
          <w:p w14:paraId="14071F5F" w14:textId="77777777" w:rsidR="006419E3" w:rsidRPr="000F42F2" w:rsidRDefault="006419E3" w:rsidP="006419E3">
            <w:pPr>
              <w:widowControl w:val="0"/>
              <w:autoSpaceDE w:val="0"/>
              <w:autoSpaceDN w:val="0"/>
              <w:adjustRightInd w:val="0"/>
              <w:spacing w:after="0"/>
              <w:ind w:left="1080" w:right="180"/>
              <w:rPr>
                <w:rFonts w:ascii="Calibri" w:eastAsia="MS Mincho" w:hAnsi="Calibri" w:cs="Calibri"/>
                <w:b/>
                <w:bCs/>
                <w:sz w:val="22"/>
                <w:szCs w:val="22"/>
              </w:rPr>
            </w:pPr>
          </w:p>
          <w:p w14:paraId="10A7DD4F" w14:textId="6DFF911C" w:rsidR="006419E3" w:rsidRPr="006419E3" w:rsidRDefault="00F53D64" w:rsidP="006419E3">
            <w:pPr>
              <w:widowControl w:val="0"/>
              <w:numPr>
                <w:ilvl w:val="0"/>
                <w:numId w:val="16"/>
              </w:numPr>
              <w:autoSpaceDE w:val="0"/>
              <w:autoSpaceDN w:val="0"/>
              <w:adjustRightInd w:val="0"/>
              <w:spacing w:after="120"/>
              <w:ind w:left="720" w:right="180"/>
              <w:rPr>
                <w:rFonts w:ascii="Calibri" w:eastAsia="MS Mincho" w:hAnsi="Calibri" w:cs="Calibri"/>
                <w:b/>
                <w:bCs/>
                <w:sz w:val="22"/>
                <w:szCs w:val="22"/>
              </w:rPr>
            </w:pPr>
            <w:r>
              <w:rPr>
                <w:rFonts w:ascii="Calibri" w:eastAsia="MS Mincho" w:hAnsi="Calibri" w:cs="Calibri"/>
                <w:b/>
                <w:bCs/>
                <w:sz w:val="22"/>
                <w:szCs w:val="22"/>
              </w:rPr>
              <w:t>Average the BP readings</w:t>
            </w:r>
          </w:p>
          <w:p w14:paraId="53BECE29" w14:textId="0E7367C6" w:rsidR="003573AD" w:rsidRPr="00F53D64" w:rsidRDefault="00F53D64" w:rsidP="00C36525">
            <w:pPr>
              <w:widowControl w:val="0"/>
              <w:numPr>
                <w:ilvl w:val="0"/>
                <w:numId w:val="16"/>
              </w:numPr>
              <w:autoSpaceDE w:val="0"/>
              <w:autoSpaceDN w:val="0"/>
              <w:adjustRightInd w:val="0"/>
              <w:spacing w:after="120"/>
              <w:ind w:left="720" w:right="180"/>
              <w:rPr>
                <w:rFonts w:ascii="Calibri" w:eastAsia="MS Mincho" w:hAnsi="Calibri" w:cs="Calibri"/>
                <w:b/>
                <w:bCs/>
                <w:sz w:val="22"/>
                <w:szCs w:val="22"/>
              </w:rPr>
            </w:pPr>
            <w:r>
              <w:rPr>
                <w:rFonts w:ascii="Calibri" w:eastAsia="MS Mincho" w:hAnsi="Calibri" w:cs="Calibri"/>
                <w:b/>
                <w:bCs/>
                <w:sz w:val="22"/>
                <w:szCs w:val="22"/>
              </w:rPr>
              <w:t>Provide BP readings to patient</w:t>
            </w:r>
          </w:p>
        </w:tc>
      </w:tr>
    </w:tbl>
    <w:p w14:paraId="33AB62D7" w14:textId="77777777" w:rsidR="003573AD" w:rsidRPr="00C36525" w:rsidRDefault="003573AD" w:rsidP="00C36525">
      <w:pPr>
        <w:contextualSpacing/>
        <w:rPr>
          <w:rFonts w:asciiTheme="minorHAnsi" w:hAnsiTheme="minorHAnsi" w:cstheme="minorHAnsi"/>
          <w:bCs/>
          <w:color w:val="000000"/>
        </w:rPr>
      </w:pPr>
    </w:p>
    <w:p w14:paraId="76A2A3B9" w14:textId="692352FC" w:rsidR="00C36525" w:rsidRDefault="00C36525">
      <w:pPr>
        <w:spacing w:after="0"/>
        <w:rPr>
          <w:rFonts w:asciiTheme="minorHAnsi" w:hAnsiTheme="minorHAnsi" w:cstheme="minorHAnsi"/>
          <w:b/>
          <w:bCs/>
          <w:sz w:val="22"/>
          <w:szCs w:val="22"/>
        </w:rPr>
      </w:pPr>
      <w:r>
        <w:rPr>
          <w:rFonts w:asciiTheme="minorHAnsi" w:hAnsiTheme="minorHAnsi" w:cstheme="minorHAnsi"/>
          <w:b/>
          <w:bCs/>
          <w:sz w:val="22"/>
          <w:szCs w:val="22"/>
        </w:rPr>
        <w:br w:type="page"/>
      </w:r>
    </w:p>
    <w:p w14:paraId="2FEB2849" w14:textId="18FED2E9" w:rsidR="00277510" w:rsidRPr="00554990" w:rsidRDefault="006F0973" w:rsidP="00554990">
      <w:pPr>
        <w:spacing w:after="0"/>
        <w:jc w:val="center"/>
        <w:rPr>
          <w:rFonts w:asciiTheme="minorHAnsi" w:hAnsiTheme="minorHAnsi" w:cstheme="minorHAnsi"/>
          <w:b/>
          <w:sz w:val="22"/>
          <w:szCs w:val="22"/>
        </w:rPr>
      </w:pPr>
      <w:r w:rsidRPr="00554990">
        <w:rPr>
          <w:rFonts w:asciiTheme="minorHAnsi" w:hAnsiTheme="minorHAnsi" w:cstheme="minorHAnsi"/>
          <w:b/>
        </w:rPr>
        <w:lastRenderedPageBreak/>
        <w:t>Example SOAP Note</w:t>
      </w:r>
      <w:r w:rsidR="002E6132" w:rsidRPr="00554990">
        <w:rPr>
          <w:rFonts w:asciiTheme="minorHAnsi" w:hAnsiTheme="minorHAnsi" w:cstheme="minorHAnsi"/>
          <w:b/>
        </w:rPr>
        <w:t>s</w:t>
      </w:r>
      <w:r w:rsidRPr="00554990">
        <w:rPr>
          <w:rFonts w:asciiTheme="minorHAnsi" w:hAnsiTheme="minorHAnsi" w:cstheme="minorHAnsi"/>
          <w:b/>
        </w:rPr>
        <w:t xml:space="preserve"> for </w:t>
      </w:r>
      <w:r w:rsidR="00F22E54">
        <w:rPr>
          <w:rFonts w:asciiTheme="minorHAnsi" w:hAnsiTheme="minorHAnsi" w:cstheme="minorHAnsi"/>
          <w:b/>
        </w:rPr>
        <w:t>Hypertension</w:t>
      </w:r>
      <w:r w:rsidRPr="00554990">
        <w:rPr>
          <w:rFonts w:asciiTheme="minorHAnsi" w:hAnsiTheme="minorHAnsi" w:cstheme="minorHAnsi"/>
          <w:b/>
        </w:rPr>
        <w:t xml:space="preserve"> Visit</w:t>
      </w:r>
    </w:p>
    <w:p w14:paraId="6836EEDA" w14:textId="77777777" w:rsidR="00CC0432" w:rsidRDefault="00CC0432" w:rsidP="00A850EA">
      <w:pPr>
        <w:ind w:left="360"/>
        <w:rPr>
          <w:rFonts w:asciiTheme="minorHAnsi" w:hAnsiTheme="minorHAnsi" w:cstheme="minorHAnsi"/>
          <w:b/>
        </w:rPr>
      </w:pPr>
    </w:p>
    <w:p w14:paraId="784742C3" w14:textId="207CA0F1" w:rsidR="00202708" w:rsidRPr="0090682D" w:rsidRDefault="006F0973" w:rsidP="00A850EA">
      <w:pPr>
        <w:ind w:left="360"/>
        <w:rPr>
          <w:rFonts w:asciiTheme="minorHAnsi" w:hAnsiTheme="minorHAnsi" w:cstheme="minorHAnsi"/>
          <w:b/>
        </w:rPr>
      </w:pPr>
      <w:r w:rsidRPr="0090682D">
        <w:rPr>
          <w:rFonts w:asciiTheme="minorHAnsi" w:hAnsiTheme="minorHAnsi" w:cstheme="minorHAnsi"/>
          <w:b/>
        </w:rPr>
        <w:t>Initial Visit</w:t>
      </w:r>
      <w:r w:rsidR="003A3FC4" w:rsidRPr="0090682D">
        <w:rPr>
          <w:rFonts w:asciiTheme="minorHAnsi" w:hAnsiTheme="minorHAnsi" w:cstheme="minorHAnsi"/>
          <w:b/>
        </w:rPr>
        <w:t xml:space="preserve"> Template</w:t>
      </w:r>
      <w:r w:rsidR="00A850EA" w:rsidRPr="0090682D">
        <w:rPr>
          <w:rFonts w:asciiTheme="minorHAnsi" w:hAnsiTheme="minorHAnsi" w:cstheme="minorHAnsi"/>
          <w:b/>
        </w:rPr>
        <w:br/>
      </w:r>
      <w:r w:rsidRPr="0090682D">
        <w:rPr>
          <w:rFonts w:asciiTheme="minorHAnsi" w:hAnsiTheme="minorHAnsi" w:cstheme="minorHAnsi"/>
          <w:bCs/>
          <w:u w:val="single"/>
        </w:rPr>
        <w:t>Subjective</w:t>
      </w:r>
      <w:r w:rsidRPr="0090682D">
        <w:rPr>
          <w:rFonts w:asciiTheme="minorHAnsi" w:hAnsiTheme="minorHAnsi" w:cstheme="minorHAnsi"/>
          <w:bCs/>
        </w:rPr>
        <w:t xml:space="preserve">: </w:t>
      </w:r>
      <w:r w:rsidR="00A850EA" w:rsidRPr="0090682D">
        <w:rPr>
          <w:rFonts w:asciiTheme="minorHAnsi" w:hAnsiTheme="minorHAnsi" w:cstheme="minorHAnsi"/>
          <w:b/>
        </w:rPr>
        <w:t xml:space="preserve"> </w:t>
      </w:r>
      <w:r w:rsidR="00202708" w:rsidRPr="0090682D">
        <w:rPr>
          <w:rFonts w:asciiTheme="minorHAnsi" w:hAnsiTheme="minorHAnsi" w:cstheme="minorHAnsi"/>
          <w:bCs/>
        </w:rPr>
        <w:t xml:space="preserve">Patient presents for Initial PharmD </w:t>
      </w:r>
      <w:r w:rsidR="00F22E54">
        <w:rPr>
          <w:rFonts w:asciiTheme="minorHAnsi" w:hAnsiTheme="minorHAnsi" w:cstheme="minorHAnsi"/>
          <w:bCs/>
        </w:rPr>
        <w:t>HTN</w:t>
      </w:r>
      <w:r w:rsidR="00202708" w:rsidRPr="0090682D">
        <w:rPr>
          <w:rFonts w:asciiTheme="minorHAnsi" w:hAnsiTheme="minorHAnsi" w:cstheme="minorHAnsi"/>
          <w:bCs/>
        </w:rPr>
        <w:t xml:space="preserve"> Visit. Patient was referred by [provider] for a </w:t>
      </w:r>
      <w:r w:rsidR="00F22E54">
        <w:rPr>
          <w:rFonts w:asciiTheme="minorHAnsi" w:hAnsiTheme="minorHAnsi" w:cstheme="minorHAnsi"/>
          <w:bCs/>
        </w:rPr>
        <w:t>BP</w:t>
      </w:r>
      <w:r w:rsidR="00202708" w:rsidRPr="0090682D">
        <w:rPr>
          <w:rFonts w:asciiTheme="minorHAnsi" w:hAnsiTheme="minorHAnsi" w:cstheme="minorHAnsi"/>
          <w:bCs/>
        </w:rPr>
        <w:t xml:space="preserve"> of X</w:t>
      </w:r>
      <w:r w:rsidR="00F22E54">
        <w:rPr>
          <w:rFonts w:asciiTheme="minorHAnsi" w:hAnsiTheme="minorHAnsi" w:cstheme="minorHAnsi"/>
          <w:bCs/>
        </w:rPr>
        <w:t xml:space="preserve"> mmHg</w:t>
      </w:r>
      <w:r w:rsidR="00202708" w:rsidRPr="0090682D">
        <w:rPr>
          <w:rFonts w:asciiTheme="minorHAnsi" w:hAnsiTheme="minorHAnsi" w:cstheme="minorHAnsi"/>
          <w:bCs/>
        </w:rPr>
        <w:t xml:space="preserve"> on x/x/x</w:t>
      </w:r>
      <w:r w:rsidR="00F22E54">
        <w:rPr>
          <w:rFonts w:asciiTheme="minorHAnsi" w:hAnsiTheme="minorHAnsi" w:cstheme="minorHAnsi"/>
          <w:bCs/>
        </w:rPr>
        <w:t xml:space="preserve">. </w:t>
      </w:r>
    </w:p>
    <w:p w14:paraId="3C17EB35" w14:textId="00D2537E"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Patient has had </w:t>
      </w:r>
      <w:r w:rsidR="00F22E54">
        <w:rPr>
          <w:rFonts w:asciiTheme="minorHAnsi" w:hAnsiTheme="minorHAnsi" w:cstheme="minorHAnsi"/>
          <w:bCs/>
          <w:sz w:val="24"/>
          <w:szCs w:val="24"/>
        </w:rPr>
        <w:t>HTN</w:t>
      </w:r>
      <w:r w:rsidRPr="0090682D">
        <w:rPr>
          <w:rFonts w:asciiTheme="minorHAnsi" w:hAnsiTheme="minorHAnsi" w:cstheme="minorHAnsi"/>
          <w:bCs/>
          <w:sz w:val="24"/>
          <w:szCs w:val="24"/>
        </w:rPr>
        <w:t xml:space="preserve"> for xx years. Over these years they have learn</w:t>
      </w:r>
      <w:r w:rsidR="000859C1">
        <w:rPr>
          <w:rFonts w:asciiTheme="minorHAnsi" w:hAnsiTheme="minorHAnsi" w:cstheme="minorHAnsi"/>
          <w:bCs/>
          <w:sz w:val="24"/>
          <w:szCs w:val="24"/>
        </w:rPr>
        <w:t>ed</w:t>
      </w:r>
      <w:r w:rsidRPr="0090682D">
        <w:rPr>
          <w:rFonts w:asciiTheme="minorHAnsi" w:hAnsiTheme="minorHAnsi" w:cstheme="minorHAnsi"/>
          <w:bCs/>
          <w:sz w:val="24"/>
          <w:szCs w:val="24"/>
        </w:rPr>
        <w:t xml:space="preserve"> xxx about </w:t>
      </w:r>
      <w:r w:rsidR="000859C1">
        <w:rPr>
          <w:rFonts w:asciiTheme="minorHAnsi" w:hAnsiTheme="minorHAnsi" w:cstheme="minorHAnsi"/>
          <w:bCs/>
          <w:sz w:val="24"/>
          <w:szCs w:val="24"/>
        </w:rPr>
        <w:t>HTN</w:t>
      </w:r>
      <w:r w:rsidRPr="0090682D">
        <w:rPr>
          <w:rFonts w:asciiTheme="minorHAnsi" w:hAnsiTheme="minorHAnsi" w:cstheme="minorHAnsi"/>
          <w:bCs/>
          <w:sz w:val="24"/>
          <w:szCs w:val="24"/>
        </w:rPr>
        <w:t xml:space="preserve">. They are/are not familiar with their </w:t>
      </w:r>
      <w:r w:rsidR="000859C1">
        <w:rPr>
          <w:rFonts w:asciiTheme="minorHAnsi" w:hAnsiTheme="minorHAnsi" w:cstheme="minorHAnsi"/>
          <w:bCs/>
          <w:sz w:val="24"/>
          <w:szCs w:val="24"/>
        </w:rPr>
        <w:t>BP goal</w:t>
      </w:r>
      <w:r w:rsidRPr="0090682D">
        <w:rPr>
          <w:rFonts w:asciiTheme="minorHAnsi" w:hAnsiTheme="minorHAnsi" w:cstheme="minorHAnsi"/>
          <w:bCs/>
          <w:sz w:val="24"/>
          <w:szCs w:val="24"/>
        </w:rPr>
        <w:t xml:space="preserve">. They can/cannot explain long-term complications of </w:t>
      </w:r>
      <w:r w:rsidR="000859C1">
        <w:rPr>
          <w:rFonts w:asciiTheme="minorHAnsi" w:hAnsiTheme="minorHAnsi" w:cstheme="minorHAnsi"/>
          <w:bCs/>
          <w:sz w:val="24"/>
          <w:szCs w:val="24"/>
        </w:rPr>
        <w:t>HTN</w:t>
      </w:r>
      <w:r w:rsidRPr="0090682D">
        <w:rPr>
          <w:rFonts w:asciiTheme="minorHAnsi" w:hAnsiTheme="minorHAnsi" w:cstheme="minorHAnsi"/>
          <w:bCs/>
          <w:sz w:val="24"/>
          <w:szCs w:val="24"/>
        </w:rPr>
        <w:t xml:space="preserve">. They are/are not familiar with a healthy diet and exercise routine for </w:t>
      </w:r>
      <w:r w:rsidR="000859C1">
        <w:rPr>
          <w:rFonts w:asciiTheme="minorHAnsi" w:hAnsiTheme="minorHAnsi" w:cstheme="minorHAnsi"/>
          <w:bCs/>
          <w:sz w:val="24"/>
          <w:szCs w:val="24"/>
        </w:rPr>
        <w:t>HTN</w:t>
      </w:r>
      <w:r w:rsidRPr="0090682D">
        <w:rPr>
          <w:rFonts w:asciiTheme="minorHAnsi" w:hAnsiTheme="minorHAnsi" w:cstheme="minorHAnsi"/>
          <w:bCs/>
          <w:sz w:val="24"/>
          <w:szCs w:val="24"/>
        </w:rPr>
        <w:t xml:space="preserve">. </w:t>
      </w:r>
    </w:p>
    <w:p w14:paraId="1D082F37" w14:textId="6F5AEAA9"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Baseline </w:t>
      </w:r>
      <w:r w:rsidR="00F22E54">
        <w:rPr>
          <w:rFonts w:asciiTheme="minorHAnsi" w:hAnsiTheme="minorHAnsi" w:cstheme="minorHAnsi"/>
          <w:bCs/>
          <w:sz w:val="24"/>
          <w:szCs w:val="24"/>
        </w:rPr>
        <w:t>HTN</w:t>
      </w:r>
      <w:r w:rsidRPr="0090682D">
        <w:rPr>
          <w:rFonts w:asciiTheme="minorHAnsi" w:hAnsiTheme="minorHAnsi" w:cstheme="minorHAnsi"/>
          <w:bCs/>
          <w:sz w:val="24"/>
          <w:szCs w:val="24"/>
        </w:rPr>
        <w:t xml:space="preserve"> </w:t>
      </w:r>
      <w:r w:rsidR="005E0282">
        <w:rPr>
          <w:rFonts w:asciiTheme="minorHAnsi" w:hAnsiTheme="minorHAnsi" w:cstheme="minorHAnsi"/>
          <w:bCs/>
          <w:sz w:val="24"/>
          <w:szCs w:val="24"/>
        </w:rPr>
        <w:t>k</w:t>
      </w:r>
      <w:r w:rsidRPr="0090682D">
        <w:rPr>
          <w:rFonts w:asciiTheme="minorHAnsi" w:hAnsiTheme="minorHAnsi" w:cstheme="minorHAnsi"/>
          <w:bCs/>
          <w:sz w:val="24"/>
          <w:szCs w:val="24"/>
        </w:rPr>
        <w:t>nowledge:</w:t>
      </w:r>
    </w:p>
    <w:p w14:paraId="18471B98" w14:textId="77777777"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Current medications:</w:t>
      </w:r>
    </w:p>
    <w:p w14:paraId="67896F31" w14:textId="77777777"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Adherence:</w:t>
      </w:r>
    </w:p>
    <w:p w14:paraId="65B61AFB" w14:textId="7F290ED2"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Food </w:t>
      </w:r>
      <w:r w:rsidR="005E0282">
        <w:rPr>
          <w:rFonts w:asciiTheme="minorHAnsi" w:hAnsiTheme="minorHAnsi" w:cstheme="minorHAnsi"/>
          <w:bCs/>
          <w:sz w:val="24"/>
          <w:szCs w:val="24"/>
        </w:rPr>
        <w:t>c</w:t>
      </w:r>
      <w:r w:rsidRPr="0090682D">
        <w:rPr>
          <w:rFonts w:asciiTheme="minorHAnsi" w:hAnsiTheme="minorHAnsi" w:cstheme="minorHAnsi"/>
          <w:bCs/>
          <w:sz w:val="24"/>
          <w:szCs w:val="24"/>
        </w:rPr>
        <w:t>hoices:</w:t>
      </w:r>
    </w:p>
    <w:p w14:paraId="54D12B8C" w14:textId="2BEE7201" w:rsidR="00A850EA" w:rsidRDefault="00A850EA"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P</w:t>
      </w:r>
      <w:r w:rsidR="00202708" w:rsidRPr="0090682D">
        <w:rPr>
          <w:rFonts w:asciiTheme="minorHAnsi" w:hAnsiTheme="minorHAnsi" w:cstheme="minorHAnsi"/>
          <w:bCs/>
          <w:sz w:val="24"/>
          <w:szCs w:val="24"/>
        </w:rPr>
        <w:t xml:space="preserve">hysical </w:t>
      </w:r>
      <w:r w:rsidR="005E0282">
        <w:rPr>
          <w:rFonts w:asciiTheme="minorHAnsi" w:hAnsiTheme="minorHAnsi" w:cstheme="minorHAnsi"/>
          <w:bCs/>
          <w:sz w:val="24"/>
          <w:szCs w:val="24"/>
        </w:rPr>
        <w:t>a</w:t>
      </w:r>
      <w:r w:rsidR="00202708" w:rsidRPr="0090682D">
        <w:rPr>
          <w:rFonts w:asciiTheme="minorHAnsi" w:hAnsiTheme="minorHAnsi" w:cstheme="minorHAnsi"/>
          <w:bCs/>
          <w:sz w:val="24"/>
          <w:szCs w:val="24"/>
        </w:rPr>
        <w:t>ctivity:</w:t>
      </w:r>
    </w:p>
    <w:p w14:paraId="7FAA4E53" w14:textId="716059A6" w:rsidR="000859C1" w:rsidRDefault="000859C1" w:rsidP="00A850EA">
      <w:pPr>
        <w:pStyle w:val="ListParagraph"/>
        <w:numPr>
          <w:ilvl w:val="0"/>
          <w:numId w:val="11"/>
        </w:numPr>
        <w:contextualSpacing/>
        <w:rPr>
          <w:rFonts w:asciiTheme="minorHAnsi" w:hAnsiTheme="minorHAnsi" w:cstheme="minorHAnsi"/>
          <w:bCs/>
          <w:sz w:val="24"/>
          <w:szCs w:val="24"/>
        </w:rPr>
      </w:pPr>
      <w:r>
        <w:rPr>
          <w:rFonts w:asciiTheme="minorHAnsi" w:hAnsiTheme="minorHAnsi" w:cstheme="minorHAnsi"/>
          <w:bCs/>
          <w:sz w:val="24"/>
          <w:szCs w:val="24"/>
        </w:rPr>
        <w:t xml:space="preserve">Tobacco/substance use: </w:t>
      </w:r>
    </w:p>
    <w:p w14:paraId="209647C7" w14:textId="6686FE69" w:rsidR="00E8191B" w:rsidRPr="0090682D" w:rsidRDefault="00E8191B" w:rsidP="00A850EA">
      <w:pPr>
        <w:pStyle w:val="ListParagraph"/>
        <w:numPr>
          <w:ilvl w:val="0"/>
          <w:numId w:val="11"/>
        </w:numPr>
        <w:contextualSpacing/>
        <w:rPr>
          <w:rFonts w:asciiTheme="minorHAnsi" w:hAnsiTheme="minorHAnsi" w:cstheme="minorHAnsi"/>
          <w:bCs/>
          <w:sz w:val="24"/>
          <w:szCs w:val="24"/>
        </w:rPr>
      </w:pPr>
      <w:r>
        <w:rPr>
          <w:rFonts w:asciiTheme="minorHAnsi" w:hAnsiTheme="minorHAnsi" w:cstheme="minorHAnsi"/>
          <w:bCs/>
          <w:sz w:val="24"/>
          <w:szCs w:val="24"/>
        </w:rPr>
        <w:t>Alcohol intake:</w:t>
      </w:r>
    </w:p>
    <w:p w14:paraId="5BDDD8C3" w14:textId="77777777"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Stress:</w:t>
      </w:r>
      <w:r w:rsidR="00C11E36" w:rsidRPr="0090682D">
        <w:rPr>
          <w:rFonts w:asciiTheme="minorHAnsi" w:hAnsiTheme="minorHAnsi" w:cstheme="minorHAnsi"/>
          <w:bCs/>
          <w:sz w:val="24"/>
          <w:szCs w:val="24"/>
        </w:rPr>
        <w:t xml:space="preserve"> Present/absent</w:t>
      </w:r>
    </w:p>
    <w:p w14:paraId="3AA522F0" w14:textId="06FA09AB" w:rsidR="00A850EA" w:rsidRPr="0090682D" w:rsidRDefault="00C11E36"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Personal beliefs about </w:t>
      </w:r>
      <w:r w:rsidR="000859C1">
        <w:rPr>
          <w:rFonts w:asciiTheme="minorHAnsi" w:hAnsiTheme="minorHAnsi" w:cstheme="minorHAnsi"/>
          <w:bCs/>
          <w:sz w:val="24"/>
          <w:szCs w:val="24"/>
        </w:rPr>
        <w:t>HTN:</w:t>
      </w:r>
      <w:r w:rsidRPr="0090682D">
        <w:rPr>
          <w:rFonts w:asciiTheme="minorHAnsi" w:hAnsiTheme="minorHAnsi" w:cstheme="minorHAnsi"/>
          <w:bCs/>
          <w:sz w:val="24"/>
          <w:szCs w:val="24"/>
        </w:rPr>
        <w:t xml:space="preserve"> </w:t>
      </w:r>
    </w:p>
    <w:p w14:paraId="11E09263" w14:textId="3228F78B" w:rsidR="00C11E36" w:rsidRPr="0090682D" w:rsidRDefault="002E6132"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Patient </w:t>
      </w:r>
      <w:r w:rsidR="00CC0432">
        <w:rPr>
          <w:rFonts w:asciiTheme="minorHAnsi" w:hAnsiTheme="minorHAnsi" w:cstheme="minorHAnsi"/>
          <w:bCs/>
          <w:sz w:val="24"/>
          <w:szCs w:val="24"/>
        </w:rPr>
        <w:t>m</w:t>
      </w:r>
      <w:r w:rsidR="00C11E36" w:rsidRPr="0090682D">
        <w:rPr>
          <w:rFonts w:asciiTheme="minorHAnsi" w:hAnsiTheme="minorHAnsi" w:cstheme="minorHAnsi"/>
          <w:bCs/>
          <w:sz w:val="24"/>
          <w:szCs w:val="24"/>
        </w:rPr>
        <w:t xml:space="preserve">otivation for improving </w:t>
      </w:r>
      <w:r w:rsidR="000859C1">
        <w:rPr>
          <w:rFonts w:asciiTheme="minorHAnsi" w:hAnsiTheme="minorHAnsi" w:cstheme="minorHAnsi"/>
          <w:bCs/>
          <w:sz w:val="24"/>
          <w:szCs w:val="24"/>
        </w:rPr>
        <w:t>HTN</w:t>
      </w:r>
      <w:r w:rsidR="00C11E36" w:rsidRPr="0090682D">
        <w:rPr>
          <w:rFonts w:asciiTheme="minorHAnsi" w:hAnsiTheme="minorHAnsi" w:cstheme="minorHAnsi"/>
          <w:bCs/>
          <w:sz w:val="24"/>
          <w:szCs w:val="24"/>
        </w:rPr>
        <w:t xml:space="preserve"> control: </w:t>
      </w:r>
    </w:p>
    <w:p w14:paraId="11BAED46" w14:textId="77777777" w:rsidR="003A3FC4" w:rsidRPr="0090682D" w:rsidRDefault="003A3FC4" w:rsidP="003A3FC4">
      <w:pPr>
        <w:pStyle w:val="ListParagraph"/>
        <w:ind w:left="1080" w:firstLine="0"/>
        <w:contextualSpacing/>
        <w:rPr>
          <w:rFonts w:asciiTheme="minorHAnsi" w:hAnsiTheme="minorHAnsi" w:cstheme="minorHAnsi"/>
          <w:bCs/>
          <w:sz w:val="24"/>
          <w:szCs w:val="24"/>
        </w:rPr>
      </w:pPr>
    </w:p>
    <w:p w14:paraId="4B8536AA" w14:textId="02853190" w:rsidR="003A3FC4" w:rsidRPr="0090682D" w:rsidRDefault="006F0973" w:rsidP="00A850EA">
      <w:pPr>
        <w:ind w:left="360"/>
        <w:contextualSpacing/>
        <w:rPr>
          <w:rFonts w:asciiTheme="minorHAnsi" w:hAnsiTheme="minorHAnsi" w:cstheme="minorHAnsi"/>
          <w:bCs/>
          <w:u w:val="single"/>
        </w:rPr>
      </w:pPr>
      <w:r w:rsidRPr="0090682D">
        <w:rPr>
          <w:rFonts w:asciiTheme="minorHAnsi" w:hAnsiTheme="minorHAnsi" w:cstheme="minorHAnsi"/>
          <w:bCs/>
          <w:u w:val="single"/>
        </w:rPr>
        <w:t>Objective</w:t>
      </w:r>
      <w:r w:rsidRPr="0090682D">
        <w:rPr>
          <w:rFonts w:asciiTheme="minorHAnsi" w:hAnsiTheme="minorHAnsi" w:cstheme="minorHAnsi"/>
          <w:bCs/>
        </w:rPr>
        <w:t>:</w:t>
      </w:r>
      <w:r w:rsidR="00F50190" w:rsidRPr="0090682D">
        <w:rPr>
          <w:rFonts w:asciiTheme="minorHAnsi" w:hAnsiTheme="minorHAnsi" w:cstheme="minorHAnsi"/>
          <w:bCs/>
        </w:rPr>
        <w:t xml:space="preserve"> Blood Pressure, </w:t>
      </w:r>
      <w:r w:rsidR="000859C1">
        <w:rPr>
          <w:rFonts w:asciiTheme="minorHAnsi" w:hAnsiTheme="minorHAnsi" w:cstheme="minorHAnsi"/>
          <w:bCs/>
        </w:rPr>
        <w:t xml:space="preserve">Heart Rate, </w:t>
      </w:r>
      <w:r w:rsidR="00F50190" w:rsidRPr="0090682D">
        <w:rPr>
          <w:rFonts w:asciiTheme="minorHAnsi" w:hAnsiTheme="minorHAnsi" w:cstheme="minorHAnsi"/>
          <w:bCs/>
        </w:rPr>
        <w:t>Previous labs as applicable</w:t>
      </w:r>
      <w:r w:rsidR="000859C1">
        <w:rPr>
          <w:rFonts w:asciiTheme="minorHAnsi" w:hAnsiTheme="minorHAnsi" w:cstheme="minorHAnsi"/>
          <w:bCs/>
        </w:rPr>
        <w:t>, Home BP readings as applicable</w:t>
      </w:r>
      <w:r w:rsidR="00A850EA" w:rsidRPr="0090682D">
        <w:rPr>
          <w:rFonts w:asciiTheme="minorHAnsi" w:hAnsiTheme="minorHAnsi" w:cstheme="minorHAnsi"/>
          <w:bCs/>
        </w:rPr>
        <w:br/>
      </w:r>
    </w:p>
    <w:p w14:paraId="18FE56AD" w14:textId="62FE2959" w:rsidR="00A850EA" w:rsidRPr="0090682D" w:rsidRDefault="00A850EA" w:rsidP="00A850EA">
      <w:pPr>
        <w:ind w:left="360"/>
        <w:contextualSpacing/>
        <w:rPr>
          <w:rFonts w:asciiTheme="minorHAnsi" w:hAnsiTheme="minorHAnsi" w:cstheme="minorHAnsi"/>
          <w:bCs/>
        </w:rPr>
      </w:pPr>
      <w:r w:rsidRPr="0090682D">
        <w:rPr>
          <w:rFonts w:asciiTheme="minorHAnsi" w:hAnsiTheme="minorHAnsi" w:cstheme="minorHAnsi"/>
          <w:bCs/>
          <w:u w:val="single"/>
        </w:rPr>
        <w:t>Assessment</w:t>
      </w:r>
      <w:r w:rsidRPr="0090682D">
        <w:rPr>
          <w:rFonts w:asciiTheme="minorHAnsi" w:hAnsiTheme="minorHAnsi" w:cstheme="minorHAnsi"/>
          <w:bCs/>
        </w:rPr>
        <w:t xml:space="preserve">: </w:t>
      </w:r>
    </w:p>
    <w:p w14:paraId="39A1B180" w14:textId="17DE6B76" w:rsidR="002E6132" w:rsidRPr="0090682D" w:rsidRDefault="002E6132"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Patient</w:t>
      </w:r>
      <w:r w:rsidR="000859C1">
        <w:rPr>
          <w:rFonts w:asciiTheme="minorHAnsi" w:hAnsiTheme="minorHAnsi" w:cstheme="minorHAnsi"/>
          <w:bCs/>
          <w:sz w:val="24"/>
          <w:szCs w:val="24"/>
        </w:rPr>
        <w:t>’s BP</w:t>
      </w:r>
      <w:r w:rsidRPr="0090682D">
        <w:rPr>
          <w:rFonts w:asciiTheme="minorHAnsi" w:hAnsiTheme="minorHAnsi" w:cstheme="minorHAnsi"/>
          <w:bCs/>
          <w:sz w:val="24"/>
          <w:szCs w:val="24"/>
        </w:rPr>
        <w:t xml:space="preserve"> is above goal of </w:t>
      </w:r>
      <w:r w:rsidR="000859C1">
        <w:rPr>
          <w:rFonts w:asciiTheme="minorHAnsi" w:hAnsiTheme="minorHAnsi" w:cstheme="minorHAnsi"/>
          <w:bCs/>
          <w:sz w:val="24"/>
          <w:szCs w:val="24"/>
        </w:rPr>
        <w:t xml:space="preserve">&lt; </w:t>
      </w:r>
      <w:r w:rsidR="00CC0432">
        <w:rPr>
          <w:rFonts w:asciiTheme="minorHAnsi" w:hAnsiTheme="minorHAnsi" w:cstheme="minorHAnsi"/>
          <w:bCs/>
          <w:sz w:val="24"/>
          <w:szCs w:val="24"/>
        </w:rPr>
        <w:t>X</w:t>
      </w:r>
      <w:r w:rsidR="000859C1">
        <w:rPr>
          <w:rFonts w:asciiTheme="minorHAnsi" w:hAnsiTheme="minorHAnsi" w:cstheme="minorHAnsi"/>
          <w:bCs/>
          <w:sz w:val="24"/>
          <w:szCs w:val="24"/>
        </w:rPr>
        <w:t xml:space="preserve"> mmHg</w:t>
      </w:r>
    </w:p>
    <w:p w14:paraId="668D90C4" w14:textId="4F72CDCB" w:rsidR="002E6132" w:rsidRPr="0090682D" w:rsidRDefault="00A850EA"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C</w:t>
      </w:r>
      <w:r w:rsidR="002E6132" w:rsidRPr="0090682D">
        <w:rPr>
          <w:rFonts w:asciiTheme="minorHAnsi" w:hAnsiTheme="minorHAnsi" w:cstheme="minorHAnsi"/>
          <w:bCs/>
          <w:sz w:val="24"/>
          <w:szCs w:val="24"/>
        </w:rPr>
        <w:t>ontributing factors include:</w:t>
      </w:r>
    </w:p>
    <w:p w14:paraId="5FF79973" w14:textId="6E083208" w:rsidR="002E6132" w:rsidRPr="0090682D" w:rsidRDefault="002E6132"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Treatment options discussed include:</w:t>
      </w:r>
    </w:p>
    <w:p w14:paraId="16BA8D8D" w14:textId="77777777" w:rsidR="003A3FC4" w:rsidRPr="0090682D" w:rsidRDefault="003A3FC4" w:rsidP="00A850EA">
      <w:pPr>
        <w:ind w:firstLine="360"/>
        <w:contextualSpacing/>
        <w:rPr>
          <w:rFonts w:asciiTheme="minorHAnsi" w:hAnsiTheme="minorHAnsi" w:cstheme="minorHAnsi"/>
          <w:bCs/>
          <w:u w:val="single"/>
        </w:rPr>
      </w:pPr>
    </w:p>
    <w:p w14:paraId="44E4EC1B" w14:textId="508EF0D9" w:rsidR="00A850EA" w:rsidRPr="0090682D" w:rsidRDefault="002E6132" w:rsidP="00A850EA">
      <w:pPr>
        <w:ind w:firstLine="360"/>
        <w:contextualSpacing/>
        <w:rPr>
          <w:rFonts w:asciiTheme="minorHAnsi" w:hAnsiTheme="minorHAnsi" w:cstheme="minorHAnsi"/>
          <w:bCs/>
        </w:rPr>
      </w:pPr>
      <w:r w:rsidRPr="0090682D">
        <w:rPr>
          <w:rFonts w:asciiTheme="minorHAnsi" w:hAnsiTheme="minorHAnsi" w:cstheme="minorHAnsi"/>
          <w:bCs/>
          <w:u w:val="single"/>
        </w:rPr>
        <w:t>Plan</w:t>
      </w:r>
      <w:r w:rsidRPr="0090682D">
        <w:rPr>
          <w:rFonts w:asciiTheme="minorHAnsi" w:hAnsiTheme="minorHAnsi" w:cstheme="minorHAnsi"/>
          <w:bCs/>
        </w:rPr>
        <w:t>:</w:t>
      </w:r>
    </w:p>
    <w:p w14:paraId="300DD7AE" w14:textId="77777777" w:rsidR="00A850EA" w:rsidRPr="0090682D" w:rsidRDefault="002E6132"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Today we will make the following changes:</w:t>
      </w:r>
    </w:p>
    <w:p w14:paraId="6127C8DA" w14:textId="77777777" w:rsidR="00A850EA" w:rsidRPr="0090682D" w:rsidRDefault="002E6132"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Education and encouragement provided.</w:t>
      </w:r>
    </w:p>
    <w:p w14:paraId="636D1D38" w14:textId="040223E5" w:rsidR="002E6132" w:rsidRPr="0090682D" w:rsidRDefault="00A850EA"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Follow-up</w:t>
      </w:r>
      <w:r w:rsidR="002E6132" w:rsidRPr="0090682D">
        <w:rPr>
          <w:rFonts w:asciiTheme="minorHAnsi" w:hAnsiTheme="minorHAnsi" w:cstheme="minorHAnsi"/>
          <w:bCs/>
          <w:sz w:val="24"/>
          <w:szCs w:val="24"/>
        </w:rPr>
        <w:t xml:space="preserve"> scheduled:</w:t>
      </w:r>
    </w:p>
    <w:p w14:paraId="27B73E37" w14:textId="1931FE6A" w:rsidR="006F0973" w:rsidRDefault="002E6132" w:rsidP="00A850EA">
      <w:pPr>
        <w:pStyle w:val="ListParagraph"/>
        <w:numPr>
          <w:ilvl w:val="0"/>
          <w:numId w:val="11"/>
        </w:numPr>
        <w:rPr>
          <w:rFonts w:asciiTheme="minorHAnsi" w:hAnsiTheme="minorHAnsi" w:cstheme="minorHAnsi"/>
          <w:bCs/>
          <w:sz w:val="24"/>
          <w:szCs w:val="24"/>
        </w:rPr>
      </w:pPr>
      <w:r w:rsidRPr="0090682D">
        <w:rPr>
          <w:rFonts w:asciiTheme="minorHAnsi" w:hAnsiTheme="minorHAnsi" w:cstheme="minorHAnsi"/>
          <w:bCs/>
          <w:sz w:val="24"/>
          <w:szCs w:val="24"/>
        </w:rPr>
        <w:t xml:space="preserve">A large percentage of today's visit was focused around </w:t>
      </w:r>
      <w:r w:rsidR="000859C1">
        <w:rPr>
          <w:rFonts w:asciiTheme="minorHAnsi" w:hAnsiTheme="minorHAnsi" w:cstheme="minorHAnsi"/>
          <w:bCs/>
          <w:sz w:val="24"/>
          <w:szCs w:val="24"/>
        </w:rPr>
        <w:t xml:space="preserve">HTN </w:t>
      </w:r>
      <w:r w:rsidRPr="0090682D">
        <w:rPr>
          <w:rFonts w:asciiTheme="minorHAnsi" w:hAnsiTheme="minorHAnsi" w:cstheme="minorHAnsi"/>
          <w:bCs/>
          <w:sz w:val="24"/>
          <w:szCs w:val="24"/>
        </w:rPr>
        <w:t xml:space="preserve">initial education including: explanation of current lab results, goals of therapy, </w:t>
      </w:r>
      <w:r w:rsidR="000859C1">
        <w:rPr>
          <w:rFonts w:asciiTheme="minorHAnsi" w:hAnsiTheme="minorHAnsi" w:cstheme="minorHAnsi"/>
          <w:bCs/>
          <w:sz w:val="24"/>
          <w:szCs w:val="24"/>
        </w:rPr>
        <w:t>complication of poorly control BP</w:t>
      </w:r>
      <w:r w:rsidRPr="0090682D">
        <w:rPr>
          <w:rFonts w:asciiTheme="minorHAnsi" w:hAnsiTheme="minorHAnsi" w:cstheme="minorHAnsi"/>
          <w:bCs/>
          <w:sz w:val="24"/>
          <w:szCs w:val="24"/>
        </w:rPr>
        <w:t xml:space="preserve">, importance of taking prescribed medications daily, </w:t>
      </w:r>
      <w:r w:rsidR="00CC0432">
        <w:rPr>
          <w:rFonts w:asciiTheme="minorHAnsi" w:hAnsiTheme="minorHAnsi" w:cstheme="minorHAnsi"/>
          <w:bCs/>
          <w:sz w:val="24"/>
          <w:szCs w:val="24"/>
        </w:rPr>
        <w:t>lifestyle recommendations including XXX</w:t>
      </w:r>
      <w:r w:rsidRPr="0090682D">
        <w:rPr>
          <w:rFonts w:asciiTheme="minorHAnsi" w:hAnsiTheme="minorHAnsi" w:cstheme="minorHAnsi"/>
          <w:bCs/>
          <w:sz w:val="24"/>
          <w:szCs w:val="24"/>
        </w:rPr>
        <w:t xml:space="preserve">, and need for continued f/u to assist with </w:t>
      </w:r>
      <w:r w:rsidR="000859C1">
        <w:rPr>
          <w:rFonts w:asciiTheme="minorHAnsi" w:hAnsiTheme="minorHAnsi" w:cstheme="minorHAnsi"/>
          <w:bCs/>
          <w:sz w:val="24"/>
          <w:szCs w:val="24"/>
        </w:rPr>
        <w:t xml:space="preserve">HTN </w:t>
      </w:r>
      <w:r w:rsidRPr="0090682D">
        <w:rPr>
          <w:rFonts w:asciiTheme="minorHAnsi" w:hAnsiTheme="minorHAnsi" w:cstheme="minorHAnsi"/>
          <w:bCs/>
          <w:sz w:val="24"/>
          <w:szCs w:val="24"/>
        </w:rPr>
        <w:t>management. Patient verbalizes understanding, and all questions were answered to patient satisfaction.</w:t>
      </w:r>
    </w:p>
    <w:p w14:paraId="341211A5" w14:textId="3E013A2E" w:rsidR="00D41003" w:rsidRPr="0090682D" w:rsidRDefault="00D41003" w:rsidP="00A850EA">
      <w:pPr>
        <w:pStyle w:val="ListParagraph"/>
        <w:numPr>
          <w:ilvl w:val="0"/>
          <w:numId w:val="11"/>
        </w:numPr>
        <w:rPr>
          <w:rFonts w:asciiTheme="minorHAnsi" w:hAnsiTheme="minorHAnsi" w:cstheme="minorHAnsi"/>
          <w:bCs/>
          <w:sz w:val="24"/>
          <w:szCs w:val="24"/>
        </w:rPr>
      </w:pPr>
      <w:r>
        <w:rPr>
          <w:rFonts w:asciiTheme="minorHAnsi" w:hAnsiTheme="minorHAnsi" w:cstheme="minorHAnsi"/>
          <w:bCs/>
          <w:sz w:val="24"/>
          <w:szCs w:val="24"/>
        </w:rPr>
        <w:t>Note sent to XXX via XXX.</w:t>
      </w:r>
    </w:p>
    <w:p w14:paraId="6487AF15" w14:textId="77777777" w:rsidR="00CC0432" w:rsidRDefault="00CC0432">
      <w:pPr>
        <w:spacing w:after="0"/>
        <w:rPr>
          <w:rFonts w:asciiTheme="minorHAnsi" w:hAnsiTheme="minorHAnsi" w:cstheme="minorHAnsi"/>
          <w:b/>
        </w:rPr>
      </w:pPr>
      <w:r>
        <w:rPr>
          <w:rFonts w:asciiTheme="minorHAnsi" w:hAnsiTheme="minorHAnsi" w:cstheme="minorHAnsi"/>
          <w:b/>
        </w:rPr>
        <w:br w:type="page"/>
      </w:r>
    </w:p>
    <w:p w14:paraId="271A8D0B" w14:textId="2DF9D5B1" w:rsidR="006F0973" w:rsidRPr="0090682D" w:rsidRDefault="003A3FC4" w:rsidP="003A3FC4">
      <w:pPr>
        <w:spacing w:after="0"/>
        <w:rPr>
          <w:rFonts w:asciiTheme="minorHAnsi" w:hAnsiTheme="minorHAnsi" w:cstheme="minorHAnsi"/>
          <w:b/>
        </w:rPr>
      </w:pPr>
      <w:r w:rsidRPr="0090682D">
        <w:rPr>
          <w:rFonts w:asciiTheme="minorHAnsi" w:hAnsiTheme="minorHAnsi" w:cstheme="minorHAnsi"/>
          <w:b/>
        </w:rPr>
        <w:lastRenderedPageBreak/>
        <w:t>Fo</w:t>
      </w:r>
      <w:r w:rsidR="006F0973" w:rsidRPr="0090682D">
        <w:rPr>
          <w:rFonts w:asciiTheme="minorHAnsi" w:hAnsiTheme="minorHAnsi" w:cstheme="minorHAnsi"/>
          <w:b/>
        </w:rPr>
        <w:t>llow-Up Visit</w:t>
      </w:r>
      <w:r w:rsidRPr="0090682D">
        <w:rPr>
          <w:rFonts w:asciiTheme="minorHAnsi" w:hAnsiTheme="minorHAnsi" w:cstheme="minorHAnsi"/>
          <w:b/>
        </w:rPr>
        <w:t xml:space="preserve"> Template</w:t>
      </w:r>
    </w:p>
    <w:p w14:paraId="2353DA3D" w14:textId="445492EB" w:rsidR="00524EFD" w:rsidRPr="0090682D" w:rsidRDefault="006F0973" w:rsidP="0090682D">
      <w:pPr>
        <w:contextualSpacing/>
        <w:rPr>
          <w:rFonts w:asciiTheme="minorHAnsi" w:hAnsiTheme="minorHAnsi" w:cstheme="minorHAnsi"/>
          <w:bCs/>
        </w:rPr>
      </w:pPr>
      <w:r w:rsidRPr="0090682D">
        <w:rPr>
          <w:rFonts w:asciiTheme="minorHAnsi" w:hAnsiTheme="minorHAnsi" w:cstheme="minorHAnsi"/>
          <w:bCs/>
          <w:u w:val="single"/>
        </w:rPr>
        <w:t>Subjective</w:t>
      </w:r>
      <w:r w:rsidRPr="0090682D">
        <w:rPr>
          <w:rFonts w:asciiTheme="minorHAnsi" w:hAnsiTheme="minorHAnsi" w:cstheme="minorHAnsi"/>
          <w:bCs/>
        </w:rPr>
        <w:t xml:space="preserve">: </w:t>
      </w:r>
      <w:r w:rsidR="00524EFD" w:rsidRPr="0090682D">
        <w:rPr>
          <w:rFonts w:asciiTheme="minorHAnsi" w:hAnsiTheme="minorHAnsi" w:cstheme="minorHAnsi"/>
          <w:bCs/>
        </w:rPr>
        <w:t xml:space="preserve">Patient presents for </w:t>
      </w:r>
      <w:r w:rsidR="00AD11C4">
        <w:rPr>
          <w:rFonts w:asciiTheme="minorHAnsi" w:hAnsiTheme="minorHAnsi" w:cstheme="minorHAnsi"/>
          <w:bCs/>
        </w:rPr>
        <w:t>HTN</w:t>
      </w:r>
      <w:r w:rsidR="00524EFD" w:rsidRPr="0090682D">
        <w:rPr>
          <w:rFonts w:asciiTheme="minorHAnsi" w:hAnsiTheme="minorHAnsi" w:cstheme="minorHAnsi"/>
          <w:bCs/>
        </w:rPr>
        <w:t xml:space="preserve"> FUV. At last visit [x </w:t>
      </w:r>
      <w:r w:rsidR="00072729" w:rsidRPr="0090682D">
        <w:rPr>
          <w:rFonts w:asciiTheme="minorHAnsi" w:hAnsiTheme="minorHAnsi" w:cstheme="minorHAnsi"/>
          <w:bCs/>
        </w:rPr>
        <w:t>weeks</w:t>
      </w:r>
      <w:r w:rsidR="00524EFD" w:rsidRPr="0090682D">
        <w:rPr>
          <w:rFonts w:asciiTheme="minorHAnsi" w:hAnsiTheme="minorHAnsi" w:cstheme="minorHAnsi"/>
          <w:bCs/>
        </w:rPr>
        <w:t xml:space="preserve"> ago] we [</w:t>
      </w:r>
      <w:r w:rsidR="00072729" w:rsidRPr="0090682D">
        <w:rPr>
          <w:rFonts w:asciiTheme="minorHAnsi" w:hAnsiTheme="minorHAnsi" w:cstheme="minorHAnsi"/>
          <w:bCs/>
        </w:rPr>
        <w:t>made no changes, increase</w:t>
      </w:r>
      <w:r w:rsidR="00CC0432">
        <w:rPr>
          <w:rFonts w:asciiTheme="minorHAnsi" w:hAnsiTheme="minorHAnsi" w:cstheme="minorHAnsi"/>
          <w:bCs/>
        </w:rPr>
        <w:t>d</w:t>
      </w:r>
      <w:r w:rsidR="00072729" w:rsidRPr="0090682D">
        <w:rPr>
          <w:rFonts w:asciiTheme="minorHAnsi" w:hAnsiTheme="minorHAnsi" w:cstheme="minorHAnsi"/>
          <w:bCs/>
        </w:rPr>
        <w:t xml:space="preserve"> x medication, etc.] </w:t>
      </w:r>
    </w:p>
    <w:p w14:paraId="10C1C172" w14:textId="730B0D79" w:rsidR="00524EFD" w:rsidRPr="0090682D" w:rsidRDefault="00524EFD"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Denies</w:t>
      </w:r>
      <w:r w:rsidR="00072729" w:rsidRPr="0090682D">
        <w:rPr>
          <w:rFonts w:asciiTheme="minorHAnsi" w:hAnsiTheme="minorHAnsi" w:cstheme="minorHAnsi"/>
          <w:bCs/>
          <w:sz w:val="24"/>
          <w:szCs w:val="24"/>
        </w:rPr>
        <w:t>/</w:t>
      </w:r>
      <w:r w:rsidR="00CC0432">
        <w:rPr>
          <w:rFonts w:asciiTheme="minorHAnsi" w:hAnsiTheme="minorHAnsi" w:cstheme="minorHAnsi"/>
          <w:bCs/>
          <w:sz w:val="24"/>
          <w:szCs w:val="24"/>
        </w:rPr>
        <w:t>reports</w:t>
      </w:r>
      <w:r w:rsidRPr="0090682D">
        <w:rPr>
          <w:rFonts w:asciiTheme="minorHAnsi" w:hAnsiTheme="minorHAnsi" w:cstheme="minorHAnsi"/>
          <w:bCs/>
          <w:sz w:val="24"/>
          <w:szCs w:val="24"/>
        </w:rPr>
        <w:t xml:space="preserve"> hypo</w:t>
      </w:r>
      <w:r w:rsidR="00AD11C4">
        <w:rPr>
          <w:rFonts w:asciiTheme="minorHAnsi" w:hAnsiTheme="minorHAnsi" w:cstheme="minorHAnsi"/>
          <w:bCs/>
          <w:sz w:val="24"/>
          <w:szCs w:val="24"/>
        </w:rPr>
        <w:t>tension</w:t>
      </w:r>
      <w:r w:rsidR="00072729" w:rsidRPr="0090682D">
        <w:rPr>
          <w:rFonts w:asciiTheme="minorHAnsi" w:hAnsiTheme="minorHAnsi" w:cstheme="minorHAnsi"/>
          <w:bCs/>
          <w:sz w:val="24"/>
          <w:szCs w:val="24"/>
        </w:rPr>
        <w:t>, other adverse effects of medication</w:t>
      </w:r>
      <w:r w:rsidR="00CC0432">
        <w:rPr>
          <w:rFonts w:asciiTheme="minorHAnsi" w:hAnsiTheme="minorHAnsi" w:cstheme="minorHAnsi"/>
          <w:bCs/>
          <w:sz w:val="24"/>
          <w:szCs w:val="24"/>
        </w:rPr>
        <w:t xml:space="preserve"> including XXX</w:t>
      </w:r>
    </w:p>
    <w:p w14:paraId="7426F818" w14:textId="406D2B68" w:rsidR="00524EFD" w:rsidRPr="0090682D" w:rsidRDefault="00072729"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Adherence: </w:t>
      </w:r>
      <w:r w:rsidR="00524EFD" w:rsidRPr="0090682D">
        <w:rPr>
          <w:rFonts w:asciiTheme="minorHAnsi" w:hAnsiTheme="minorHAnsi" w:cstheme="minorHAnsi"/>
          <w:bCs/>
          <w:sz w:val="24"/>
          <w:szCs w:val="24"/>
        </w:rPr>
        <w:t>Reports X</w:t>
      </w:r>
      <w:r w:rsidR="00CC0432">
        <w:rPr>
          <w:rFonts w:asciiTheme="minorHAnsi" w:hAnsiTheme="minorHAnsi" w:cstheme="minorHAnsi"/>
          <w:bCs/>
          <w:sz w:val="24"/>
          <w:szCs w:val="24"/>
        </w:rPr>
        <w:t>XX</w:t>
      </w:r>
      <w:r w:rsidR="00524EFD" w:rsidRPr="0090682D">
        <w:rPr>
          <w:rFonts w:asciiTheme="minorHAnsi" w:hAnsiTheme="minorHAnsi" w:cstheme="minorHAnsi"/>
          <w:bCs/>
          <w:sz w:val="24"/>
          <w:szCs w:val="24"/>
        </w:rPr>
        <w:t xml:space="preserve"> missed doses of medication over the last 2 weeks</w:t>
      </w:r>
    </w:p>
    <w:p w14:paraId="1608AE14" w14:textId="792C6AC0" w:rsidR="00524EFD" w:rsidRPr="0090682D" w:rsidRDefault="00524EFD"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Biggest </w:t>
      </w:r>
      <w:r w:rsidR="00AD11C4">
        <w:rPr>
          <w:rFonts w:asciiTheme="minorHAnsi" w:hAnsiTheme="minorHAnsi" w:cstheme="minorHAnsi"/>
          <w:bCs/>
          <w:sz w:val="24"/>
          <w:szCs w:val="24"/>
        </w:rPr>
        <w:t>HTN</w:t>
      </w:r>
      <w:r w:rsidRPr="0090682D">
        <w:rPr>
          <w:rFonts w:asciiTheme="minorHAnsi" w:hAnsiTheme="minorHAnsi" w:cstheme="minorHAnsi"/>
          <w:bCs/>
          <w:sz w:val="24"/>
          <w:szCs w:val="24"/>
        </w:rPr>
        <w:t xml:space="preserve"> concern today:</w:t>
      </w:r>
    </w:p>
    <w:p w14:paraId="660AE465" w14:textId="4957F96B" w:rsidR="00524EFD" w:rsidRPr="0090682D" w:rsidRDefault="00072729"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Physical </w:t>
      </w:r>
      <w:r w:rsidR="005E0282">
        <w:rPr>
          <w:rFonts w:asciiTheme="minorHAnsi" w:hAnsiTheme="minorHAnsi" w:cstheme="minorHAnsi"/>
          <w:bCs/>
          <w:sz w:val="24"/>
          <w:szCs w:val="24"/>
        </w:rPr>
        <w:t>a</w:t>
      </w:r>
      <w:r w:rsidR="00524EFD" w:rsidRPr="0090682D">
        <w:rPr>
          <w:rFonts w:asciiTheme="minorHAnsi" w:hAnsiTheme="minorHAnsi" w:cstheme="minorHAnsi"/>
          <w:bCs/>
          <w:sz w:val="24"/>
          <w:szCs w:val="24"/>
        </w:rPr>
        <w:t>ctivity:</w:t>
      </w:r>
    </w:p>
    <w:p w14:paraId="1695D9FB" w14:textId="73E3918E" w:rsidR="006F0973" w:rsidRDefault="00524EFD"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Diet changes:</w:t>
      </w:r>
    </w:p>
    <w:p w14:paraId="324CDA3A" w14:textId="028AF432" w:rsidR="005E0282" w:rsidRDefault="005E0282" w:rsidP="005E0282">
      <w:pPr>
        <w:pStyle w:val="ListParagraph"/>
        <w:numPr>
          <w:ilvl w:val="0"/>
          <w:numId w:val="11"/>
        </w:numPr>
        <w:contextualSpacing/>
        <w:rPr>
          <w:rFonts w:asciiTheme="minorHAnsi" w:hAnsiTheme="minorHAnsi" w:cstheme="minorHAnsi"/>
          <w:bCs/>
          <w:sz w:val="24"/>
          <w:szCs w:val="24"/>
        </w:rPr>
      </w:pPr>
      <w:r>
        <w:rPr>
          <w:rFonts w:asciiTheme="minorHAnsi" w:hAnsiTheme="minorHAnsi" w:cstheme="minorHAnsi"/>
          <w:bCs/>
          <w:sz w:val="24"/>
          <w:szCs w:val="24"/>
        </w:rPr>
        <w:t>Tobacco/substance use:</w:t>
      </w:r>
    </w:p>
    <w:p w14:paraId="6243D588" w14:textId="7510EAFD" w:rsidR="00E8191B" w:rsidRPr="005E0282" w:rsidRDefault="00E8191B" w:rsidP="005E0282">
      <w:pPr>
        <w:pStyle w:val="ListParagraph"/>
        <w:numPr>
          <w:ilvl w:val="0"/>
          <w:numId w:val="11"/>
        </w:numPr>
        <w:contextualSpacing/>
        <w:rPr>
          <w:rFonts w:asciiTheme="minorHAnsi" w:hAnsiTheme="minorHAnsi" w:cstheme="minorHAnsi"/>
          <w:bCs/>
          <w:sz w:val="24"/>
          <w:szCs w:val="24"/>
        </w:rPr>
      </w:pPr>
      <w:r>
        <w:rPr>
          <w:rFonts w:asciiTheme="minorHAnsi" w:hAnsiTheme="minorHAnsi" w:cstheme="minorHAnsi"/>
          <w:bCs/>
          <w:sz w:val="24"/>
          <w:szCs w:val="24"/>
        </w:rPr>
        <w:t>Alcohol intake:</w:t>
      </w:r>
    </w:p>
    <w:p w14:paraId="399F6747" w14:textId="71A14B88" w:rsidR="00072729" w:rsidRDefault="00072729"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Stress:</w:t>
      </w:r>
    </w:p>
    <w:p w14:paraId="734F2D2B" w14:textId="3B34BBE7" w:rsidR="00F50190" w:rsidRPr="0090682D" w:rsidRDefault="00F50190"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Motivation for improving </w:t>
      </w:r>
      <w:r w:rsidR="00AD11C4">
        <w:rPr>
          <w:rFonts w:asciiTheme="minorHAnsi" w:hAnsiTheme="minorHAnsi" w:cstheme="minorHAnsi"/>
          <w:bCs/>
          <w:sz w:val="24"/>
          <w:szCs w:val="24"/>
        </w:rPr>
        <w:t>HTN</w:t>
      </w:r>
      <w:r w:rsidRPr="0090682D">
        <w:rPr>
          <w:rFonts w:asciiTheme="minorHAnsi" w:hAnsiTheme="minorHAnsi" w:cstheme="minorHAnsi"/>
          <w:bCs/>
          <w:sz w:val="24"/>
          <w:szCs w:val="24"/>
        </w:rPr>
        <w:t xml:space="preserve"> control:</w:t>
      </w:r>
    </w:p>
    <w:p w14:paraId="27C665C5" w14:textId="77777777" w:rsidR="0090682D" w:rsidRPr="0090682D" w:rsidRDefault="0090682D" w:rsidP="0090682D">
      <w:pPr>
        <w:pStyle w:val="ListParagraph"/>
        <w:ind w:left="1080" w:firstLine="0"/>
        <w:contextualSpacing/>
        <w:rPr>
          <w:rFonts w:asciiTheme="minorHAnsi" w:hAnsiTheme="minorHAnsi" w:cstheme="minorHAnsi"/>
          <w:bCs/>
          <w:sz w:val="24"/>
          <w:szCs w:val="24"/>
        </w:rPr>
      </w:pPr>
    </w:p>
    <w:p w14:paraId="3B31B326" w14:textId="2E8128F5" w:rsidR="006F0973" w:rsidRPr="0090682D" w:rsidRDefault="006F0973" w:rsidP="0090682D">
      <w:pPr>
        <w:contextualSpacing/>
        <w:rPr>
          <w:rFonts w:asciiTheme="minorHAnsi" w:hAnsiTheme="minorHAnsi" w:cstheme="minorHAnsi"/>
          <w:bCs/>
        </w:rPr>
      </w:pPr>
      <w:r w:rsidRPr="0090682D">
        <w:rPr>
          <w:rFonts w:asciiTheme="minorHAnsi" w:hAnsiTheme="minorHAnsi" w:cstheme="minorHAnsi"/>
          <w:bCs/>
          <w:u w:val="single"/>
        </w:rPr>
        <w:t>Objective</w:t>
      </w:r>
      <w:r w:rsidRPr="0090682D">
        <w:rPr>
          <w:rFonts w:asciiTheme="minorHAnsi" w:hAnsiTheme="minorHAnsi" w:cstheme="minorHAnsi"/>
          <w:bCs/>
        </w:rPr>
        <w:t>:</w:t>
      </w:r>
      <w:r w:rsidR="00072729" w:rsidRPr="0090682D">
        <w:rPr>
          <w:rFonts w:asciiTheme="minorHAnsi" w:hAnsiTheme="minorHAnsi" w:cstheme="minorHAnsi"/>
          <w:bCs/>
        </w:rPr>
        <w:t xml:space="preserve"> </w:t>
      </w:r>
      <w:r w:rsidR="00AD11C4" w:rsidRPr="0090682D">
        <w:rPr>
          <w:rFonts w:asciiTheme="minorHAnsi" w:hAnsiTheme="minorHAnsi" w:cstheme="minorHAnsi"/>
          <w:bCs/>
        </w:rPr>
        <w:t xml:space="preserve">Blood Pressure, </w:t>
      </w:r>
      <w:r w:rsidR="00AD11C4">
        <w:rPr>
          <w:rFonts w:asciiTheme="minorHAnsi" w:hAnsiTheme="minorHAnsi" w:cstheme="minorHAnsi"/>
          <w:bCs/>
        </w:rPr>
        <w:t xml:space="preserve">Heart Rate, </w:t>
      </w:r>
      <w:r w:rsidR="00AD11C4" w:rsidRPr="0090682D">
        <w:rPr>
          <w:rFonts w:asciiTheme="minorHAnsi" w:hAnsiTheme="minorHAnsi" w:cstheme="minorHAnsi"/>
          <w:bCs/>
        </w:rPr>
        <w:t>Previous labs as applicable</w:t>
      </w:r>
      <w:r w:rsidR="00AD11C4">
        <w:rPr>
          <w:rFonts w:asciiTheme="minorHAnsi" w:hAnsiTheme="minorHAnsi" w:cstheme="minorHAnsi"/>
          <w:bCs/>
        </w:rPr>
        <w:t>, Home BP readings as applicable</w:t>
      </w:r>
    </w:p>
    <w:p w14:paraId="4E64E052" w14:textId="77777777" w:rsidR="0090682D" w:rsidRPr="0090682D" w:rsidRDefault="0090682D" w:rsidP="0090682D">
      <w:pPr>
        <w:contextualSpacing/>
        <w:rPr>
          <w:rFonts w:asciiTheme="minorHAnsi" w:hAnsiTheme="minorHAnsi" w:cstheme="minorHAnsi"/>
          <w:bCs/>
        </w:rPr>
      </w:pPr>
    </w:p>
    <w:p w14:paraId="7CB2920A" w14:textId="62E8A8E0" w:rsidR="006F0973" w:rsidRPr="0090682D" w:rsidRDefault="006F0973" w:rsidP="0090682D">
      <w:pPr>
        <w:contextualSpacing/>
        <w:rPr>
          <w:rFonts w:asciiTheme="minorHAnsi" w:hAnsiTheme="minorHAnsi" w:cstheme="minorHAnsi"/>
          <w:bCs/>
        </w:rPr>
      </w:pPr>
      <w:r w:rsidRPr="0090682D">
        <w:rPr>
          <w:rFonts w:asciiTheme="minorHAnsi" w:hAnsiTheme="minorHAnsi" w:cstheme="minorHAnsi"/>
          <w:bCs/>
          <w:u w:val="single"/>
        </w:rPr>
        <w:t>Assessment</w:t>
      </w:r>
      <w:r w:rsidRPr="0090682D">
        <w:rPr>
          <w:rFonts w:asciiTheme="minorHAnsi" w:hAnsiTheme="minorHAnsi" w:cstheme="minorHAnsi"/>
          <w:bCs/>
        </w:rPr>
        <w:t>:</w:t>
      </w:r>
    </w:p>
    <w:p w14:paraId="46146161" w14:textId="77777777" w:rsidR="00AD11C4" w:rsidRPr="0090682D" w:rsidRDefault="00AD11C4" w:rsidP="00AD11C4">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Patient</w:t>
      </w:r>
      <w:r>
        <w:rPr>
          <w:rFonts w:asciiTheme="minorHAnsi" w:hAnsiTheme="minorHAnsi" w:cstheme="minorHAnsi"/>
          <w:bCs/>
          <w:sz w:val="24"/>
          <w:szCs w:val="24"/>
        </w:rPr>
        <w:t>’s BP</w:t>
      </w:r>
      <w:r w:rsidRPr="0090682D">
        <w:rPr>
          <w:rFonts w:asciiTheme="minorHAnsi" w:hAnsiTheme="minorHAnsi" w:cstheme="minorHAnsi"/>
          <w:bCs/>
          <w:sz w:val="24"/>
          <w:szCs w:val="24"/>
        </w:rPr>
        <w:t xml:space="preserve"> is above goal of </w:t>
      </w:r>
      <w:r>
        <w:rPr>
          <w:rFonts w:asciiTheme="minorHAnsi" w:hAnsiTheme="minorHAnsi" w:cstheme="minorHAnsi"/>
          <w:bCs/>
          <w:sz w:val="24"/>
          <w:szCs w:val="24"/>
        </w:rPr>
        <w:t>&lt; X mmHg</w:t>
      </w:r>
    </w:p>
    <w:p w14:paraId="067FEA7C" w14:textId="420BF33B" w:rsidR="002E6132" w:rsidRPr="0090682D" w:rsidRDefault="002E6132"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Contributing factors include:</w:t>
      </w:r>
    </w:p>
    <w:p w14:paraId="2B72B206" w14:textId="390C18CB" w:rsidR="002E6132" w:rsidRPr="0090682D" w:rsidRDefault="002E6132"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Treatment options discussed include:</w:t>
      </w:r>
    </w:p>
    <w:p w14:paraId="19D90063" w14:textId="77777777" w:rsidR="0090682D" w:rsidRPr="0090682D" w:rsidRDefault="0090682D" w:rsidP="0090682D">
      <w:pPr>
        <w:pStyle w:val="ListParagraph"/>
        <w:ind w:left="1080" w:firstLine="0"/>
        <w:contextualSpacing/>
        <w:rPr>
          <w:rFonts w:asciiTheme="minorHAnsi" w:hAnsiTheme="minorHAnsi" w:cstheme="minorHAnsi"/>
          <w:bCs/>
          <w:sz w:val="24"/>
          <w:szCs w:val="24"/>
        </w:rPr>
      </w:pPr>
    </w:p>
    <w:p w14:paraId="3C86BE9F" w14:textId="77777777" w:rsidR="0090682D" w:rsidRPr="0090682D" w:rsidRDefault="006F0973" w:rsidP="0090682D">
      <w:pPr>
        <w:contextualSpacing/>
        <w:rPr>
          <w:rFonts w:asciiTheme="minorHAnsi" w:hAnsiTheme="minorHAnsi" w:cstheme="minorHAnsi"/>
          <w:bCs/>
        </w:rPr>
      </w:pPr>
      <w:r w:rsidRPr="0090682D">
        <w:rPr>
          <w:rFonts w:asciiTheme="minorHAnsi" w:hAnsiTheme="minorHAnsi" w:cstheme="minorHAnsi"/>
          <w:bCs/>
          <w:u w:val="single"/>
        </w:rPr>
        <w:t>Plan</w:t>
      </w:r>
      <w:r w:rsidRPr="0090682D">
        <w:rPr>
          <w:rFonts w:asciiTheme="minorHAnsi" w:hAnsiTheme="minorHAnsi" w:cstheme="minorHAnsi"/>
          <w:bCs/>
        </w:rPr>
        <w:t>:</w:t>
      </w:r>
    </w:p>
    <w:p w14:paraId="7B3B0AEF" w14:textId="38DE8D3B" w:rsidR="002E6132" w:rsidRPr="0090682D" w:rsidRDefault="0090682D"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T</w:t>
      </w:r>
      <w:r w:rsidR="002E6132" w:rsidRPr="0090682D">
        <w:rPr>
          <w:rFonts w:asciiTheme="minorHAnsi" w:hAnsiTheme="minorHAnsi" w:cstheme="minorHAnsi"/>
          <w:bCs/>
          <w:sz w:val="24"/>
          <w:szCs w:val="24"/>
        </w:rPr>
        <w:t>oday we will make the following changes:</w:t>
      </w:r>
    </w:p>
    <w:p w14:paraId="231F6BD6" w14:textId="1FD633CD" w:rsidR="002E6132" w:rsidRDefault="002E6132"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Education and encouragement provided.</w:t>
      </w:r>
    </w:p>
    <w:p w14:paraId="0778B1B5" w14:textId="43C59558" w:rsidR="002E6132" w:rsidRDefault="002E6132"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F</w:t>
      </w:r>
      <w:r w:rsidR="0090682D" w:rsidRPr="0090682D">
        <w:rPr>
          <w:rFonts w:asciiTheme="minorHAnsi" w:hAnsiTheme="minorHAnsi" w:cstheme="minorHAnsi"/>
          <w:bCs/>
          <w:sz w:val="24"/>
          <w:szCs w:val="24"/>
        </w:rPr>
        <w:t xml:space="preserve">ollow-up </w:t>
      </w:r>
      <w:r w:rsidRPr="0090682D">
        <w:rPr>
          <w:rFonts w:asciiTheme="minorHAnsi" w:hAnsiTheme="minorHAnsi" w:cstheme="minorHAnsi"/>
          <w:bCs/>
          <w:sz w:val="24"/>
          <w:szCs w:val="24"/>
        </w:rPr>
        <w:t>scheduled:</w:t>
      </w:r>
    </w:p>
    <w:p w14:paraId="2BE05C9F" w14:textId="40C42FE0" w:rsidR="00D41003" w:rsidRPr="00D41003" w:rsidRDefault="00D41003" w:rsidP="00D41003">
      <w:pPr>
        <w:pStyle w:val="ListParagraph"/>
        <w:numPr>
          <w:ilvl w:val="0"/>
          <w:numId w:val="11"/>
        </w:numPr>
        <w:contextualSpacing/>
        <w:rPr>
          <w:rFonts w:asciiTheme="minorHAnsi" w:hAnsiTheme="minorHAnsi" w:cstheme="minorHAnsi"/>
          <w:bCs/>
          <w:sz w:val="24"/>
          <w:szCs w:val="24"/>
        </w:rPr>
      </w:pPr>
      <w:r>
        <w:rPr>
          <w:rFonts w:asciiTheme="minorHAnsi" w:hAnsiTheme="minorHAnsi" w:cstheme="minorHAnsi"/>
          <w:bCs/>
          <w:sz w:val="24"/>
          <w:szCs w:val="24"/>
        </w:rPr>
        <w:t xml:space="preserve">Note sent to XXX via XXX. </w:t>
      </w:r>
    </w:p>
    <w:p w14:paraId="77B1CE0F" w14:textId="77777777" w:rsidR="002E6132" w:rsidRPr="0090682D" w:rsidRDefault="002E6132" w:rsidP="006F0973">
      <w:pPr>
        <w:rPr>
          <w:rFonts w:asciiTheme="minorHAnsi" w:hAnsiTheme="minorHAnsi" w:cstheme="minorHAnsi"/>
          <w:bCs/>
        </w:rPr>
      </w:pPr>
    </w:p>
    <w:p w14:paraId="76D995EF" w14:textId="77777777" w:rsidR="002E6132" w:rsidRPr="0090682D" w:rsidRDefault="002E6132" w:rsidP="006F0973">
      <w:pPr>
        <w:rPr>
          <w:rFonts w:asciiTheme="minorHAnsi" w:hAnsiTheme="minorHAnsi" w:cstheme="minorHAnsi"/>
          <w:bCs/>
        </w:rPr>
      </w:pPr>
    </w:p>
    <w:p w14:paraId="565B4294" w14:textId="77777777" w:rsidR="006F0973" w:rsidRPr="0090682D" w:rsidRDefault="006F0973" w:rsidP="00C36525">
      <w:pPr>
        <w:rPr>
          <w:rFonts w:asciiTheme="minorHAnsi" w:hAnsiTheme="minorHAnsi" w:cstheme="minorHAnsi"/>
          <w:b/>
        </w:rPr>
      </w:pPr>
    </w:p>
    <w:sectPr w:rsidR="006F0973" w:rsidRPr="0090682D" w:rsidSect="003B7B2C">
      <w:footerReference w:type="even" r:id="rId14"/>
      <w:footerReference w:type="default" r:id="rId15"/>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ink, Rhianna" w:date="2024-05-23T10:32:00Z" w:initials="FR">
    <w:p w14:paraId="63CB32F9" w14:textId="77777777" w:rsidR="00FC6106" w:rsidRDefault="00FC6106" w:rsidP="00FC6106">
      <w:pPr>
        <w:pStyle w:val="CommentText"/>
      </w:pPr>
      <w:r>
        <w:rPr>
          <w:rStyle w:val="CommentReference"/>
        </w:rPr>
        <w:annotationRef/>
      </w:r>
      <w:r>
        <w:t>I added reference to the resistant hypertension scientific statement here since we are not permitted to use the figure I originally wanted to include in the appendix. I hope this provides sufficient guidance for users to access these resources themselves and review/use figures internally.</w:t>
      </w:r>
    </w:p>
    <w:p w14:paraId="056F63BC" w14:textId="77777777" w:rsidR="00FC6106" w:rsidRDefault="00FC6106" w:rsidP="00FC6106">
      <w:pPr>
        <w:pStyle w:val="CommentText"/>
      </w:pPr>
    </w:p>
    <w:p w14:paraId="0B78F61A" w14:textId="77777777" w:rsidR="00FC6106" w:rsidRDefault="00FC6106" w:rsidP="00FC6106">
      <w:pPr>
        <w:pStyle w:val="CommentText"/>
      </w:pPr>
      <w:r>
        <w:t>After reviewing the AHA’s linking policy provided in the copyright email communication, I also removed the hyperlink as I wasn’t sure it met their linking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78F6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121C99" w16cex:dateUtc="2024-05-23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8F61A" w16cid:durableId="5D121C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2C52C" w14:textId="77777777" w:rsidR="00602BE9" w:rsidRDefault="00602BE9" w:rsidP="003B7B2C">
      <w:pPr>
        <w:spacing w:after="0"/>
      </w:pPr>
      <w:r>
        <w:separator/>
      </w:r>
    </w:p>
  </w:endnote>
  <w:endnote w:type="continuationSeparator" w:id="0">
    <w:p w14:paraId="70549609" w14:textId="77777777" w:rsidR="00602BE9" w:rsidRDefault="00602BE9" w:rsidP="003B7B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00000000" w:usb1="5000A1FF" w:usb2="00000000" w:usb3="00000000" w:csb0="000001BF" w:csb1="00000000"/>
  </w:font>
  <w:font w:name="Carlito">
    <w:altName w:val="Calibri"/>
    <w:charset w:val="00"/>
    <w:family w:val="swiss"/>
    <w:pitch w:val="variable"/>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FEF8" w14:textId="77777777" w:rsidR="00295393" w:rsidRDefault="00295393" w:rsidP="0080683B">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9C51" w14:textId="28A5EC3B" w:rsidR="00450CB9" w:rsidRPr="005E7349" w:rsidRDefault="00450CB9" w:rsidP="00915037">
    <w:pPr>
      <w:pStyle w:val="Footer"/>
      <w:jc w:val="center"/>
      <w:rPr>
        <w:rFonts w:asciiTheme="minorHAnsi" w:hAnsiTheme="minorHAnsi" w:cstheme="minorHAnsi"/>
        <w:i/>
        <w:iCs/>
        <w:sz w:val="16"/>
        <w:szCs w:val="16"/>
      </w:rPr>
    </w:pPr>
    <w:r w:rsidRPr="005E7349">
      <w:rPr>
        <w:rFonts w:asciiTheme="minorHAnsi" w:hAnsiTheme="minorHAnsi" w:cstheme="minorHAnsi"/>
        <w:i/>
        <w:iCs/>
        <w:sz w:val="16"/>
        <w:szCs w:val="16"/>
      </w:rPr>
      <w:t xml:space="preserve">Developed by the Colorado </w:t>
    </w:r>
    <w:r w:rsidR="003F37EB" w:rsidRPr="005E7349">
      <w:rPr>
        <w:rFonts w:asciiTheme="minorHAnsi" w:hAnsiTheme="minorHAnsi" w:cstheme="minorHAnsi"/>
        <w:i/>
        <w:iCs/>
        <w:sz w:val="16"/>
        <w:szCs w:val="16"/>
      </w:rPr>
      <w:t>Pharmacists</w:t>
    </w:r>
    <w:r w:rsidRPr="005E7349">
      <w:rPr>
        <w:rFonts w:asciiTheme="minorHAnsi" w:hAnsiTheme="minorHAnsi" w:cstheme="minorHAnsi"/>
        <w:i/>
        <w:iCs/>
        <w:sz w:val="16"/>
        <w:szCs w:val="16"/>
      </w:rPr>
      <w:t xml:space="preserve"> Society as general guidance for pharmacist professionals</w:t>
    </w:r>
    <w:r w:rsidR="005E7349" w:rsidRPr="005E7349">
      <w:rPr>
        <w:rFonts w:asciiTheme="minorHAnsi" w:hAnsiTheme="minorHAnsi" w:cstheme="minorHAnsi"/>
        <w:i/>
        <w:iCs/>
        <w:sz w:val="16"/>
        <w:szCs w:val="16"/>
      </w:rPr>
      <w:t xml:space="preserve"> in Colorado</w:t>
    </w:r>
    <w:r w:rsidRPr="005E7349">
      <w:rPr>
        <w:rFonts w:asciiTheme="minorHAnsi" w:hAnsiTheme="minorHAnsi" w:cstheme="minorHAnsi"/>
        <w:i/>
        <w:iCs/>
        <w:sz w:val="16"/>
        <w:szCs w:val="16"/>
      </w:rPr>
      <w:t xml:space="preserve">.  All aspects of this document should be tailored to specific practice sites. CPS </w:t>
    </w:r>
    <w:r w:rsidR="005E7349">
      <w:rPr>
        <w:rFonts w:asciiTheme="minorHAnsi" w:hAnsiTheme="minorHAnsi" w:cstheme="minorHAnsi"/>
        <w:i/>
        <w:iCs/>
        <w:sz w:val="16"/>
        <w:szCs w:val="16"/>
      </w:rPr>
      <w:t>bears no</w:t>
    </w:r>
    <w:r w:rsidR="005E7349" w:rsidRPr="005E7349">
      <w:rPr>
        <w:rFonts w:asciiTheme="minorHAnsi" w:hAnsiTheme="minorHAnsi" w:cstheme="minorHAnsi"/>
        <w:i/>
        <w:iCs/>
        <w:sz w:val="16"/>
        <w:szCs w:val="16"/>
      </w:rPr>
      <w:t xml:space="preserve"> </w:t>
    </w:r>
    <w:r w:rsidRPr="005E7349">
      <w:rPr>
        <w:rFonts w:asciiTheme="minorHAnsi" w:hAnsiTheme="minorHAnsi" w:cstheme="minorHAnsi"/>
        <w:i/>
        <w:iCs/>
        <w:sz w:val="16"/>
        <w:szCs w:val="16"/>
      </w:rPr>
      <w:t>liab</w:t>
    </w:r>
    <w:r w:rsidR="005E7349">
      <w:rPr>
        <w:rFonts w:asciiTheme="minorHAnsi" w:hAnsiTheme="minorHAnsi" w:cstheme="minorHAnsi"/>
        <w:i/>
        <w:iCs/>
        <w:sz w:val="16"/>
        <w:szCs w:val="16"/>
      </w:rPr>
      <w:t>ility</w:t>
    </w:r>
    <w:r w:rsidR="005E7349" w:rsidRPr="005E7349">
      <w:rPr>
        <w:rFonts w:asciiTheme="minorHAnsi" w:hAnsiTheme="minorHAnsi" w:cstheme="minorHAnsi"/>
        <w:i/>
        <w:iCs/>
        <w:sz w:val="16"/>
        <w:szCs w:val="16"/>
      </w:rPr>
      <w:t xml:space="preserve"> </w:t>
    </w:r>
    <w:r w:rsidRPr="005E7349">
      <w:rPr>
        <w:rFonts w:asciiTheme="minorHAnsi" w:hAnsiTheme="minorHAnsi" w:cstheme="minorHAnsi"/>
        <w:i/>
        <w:iCs/>
        <w:sz w:val="16"/>
        <w:szCs w:val="16"/>
      </w:rPr>
      <w:t xml:space="preserve">for the </w:t>
    </w:r>
    <w:r w:rsidR="005E7349">
      <w:rPr>
        <w:rFonts w:asciiTheme="minorHAnsi" w:hAnsiTheme="minorHAnsi" w:cstheme="minorHAnsi"/>
        <w:i/>
        <w:iCs/>
        <w:sz w:val="16"/>
        <w:szCs w:val="16"/>
      </w:rPr>
      <w:t>utilization</w:t>
    </w:r>
    <w:r w:rsidRPr="005E7349">
      <w:rPr>
        <w:rFonts w:asciiTheme="minorHAnsi" w:hAnsiTheme="minorHAnsi" w:cstheme="minorHAnsi"/>
        <w:i/>
        <w:iCs/>
        <w:sz w:val="16"/>
        <w:szCs w:val="16"/>
      </w:rPr>
      <w:t xml:space="preserve"> of this</w:t>
    </w:r>
    <w:r w:rsidR="003F37EB" w:rsidRPr="005E7349">
      <w:rPr>
        <w:rFonts w:asciiTheme="minorHAnsi" w:hAnsiTheme="minorHAnsi" w:cstheme="minorHAnsi"/>
        <w:i/>
        <w:iCs/>
        <w:sz w:val="16"/>
        <w:szCs w:val="16"/>
      </w:rPr>
      <w:t xml:space="preserve"> template</w:t>
    </w:r>
    <w:r w:rsidRPr="005E7349">
      <w:rPr>
        <w:rFonts w:asciiTheme="minorHAnsi" w:hAnsiTheme="minorHAnsi" w:cstheme="minorHAnsi"/>
        <w:i/>
        <w:iCs/>
        <w:sz w:val="16"/>
        <w:szCs w:val="16"/>
      </w:rPr>
      <w:t xml:space="preserve"> protocol.</w:t>
    </w:r>
  </w:p>
  <w:p w14:paraId="32236AA1" w14:textId="6BDC91EE" w:rsidR="00295393" w:rsidRPr="00842B7D" w:rsidRDefault="00295393" w:rsidP="00842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EAF0" w14:textId="77777777" w:rsidR="00602BE9" w:rsidRDefault="00602BE9" w:rsidP="003B7B2C">
      <w:pPr>
        <w:spacing w:after="0"/>
      </w:pPr>
      <w:r>
        <w:separator/>
      </w:r>
    </w:p>
  </w:footnote>
  <w:footnote w:type="continuationSeparator" w:id="0">
    <w:p w14:paraId="67CC8C66" w14:textId="77777777" w:rsidR="00602BE9" w:rsidRDefault="00602BE9" w:rsidP="003B7B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BF1"/>
    <w:multiLevelType w:val="hybridMultilevel"/>
    <w:tmpl w:val="EF40EE20"/>
    <w:lvl w:ilvl="0" w:tplc="0CDA4FD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6F2048"/>
    <w:multiLevelType w:val="hybridMultilevel"/>
    <w:tmpl w:val="357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3681C"/>
    <w:multiLevelType w:val="hybridMultilevel"/>
    <w:tmpl w:val="22EC2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7A4141"/>
    <w:multiLevelType w:val="hybridMultilevel"/>
    <w:tmpl w:val="94B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0329"/>
    <w:multiLevelType w:val="hybridMultilevel"/>
    <w:tmpl w:val="5CB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A34D4"/>
    <w:multiLevelType w:val="hybridMultilevel"/>
    <w:tmpl w:val="BB8A2746"/>
    <w:lvl w:ilvl="0" w:tplc="04090001">
      <w:start w:val="1"/>
      <w:numFmt w:val="bullet"/>
      <w:lvlText w:val=""/>
      <w:lvlJc w:val="left"/>
      <w:pPr>
        <w:ind w:left="720" w:hanging="360"/>
      </w:pPr>
      <w:rPr>
        <w:rFonts w:ascii="Symbol" w:hAnsi="Symbol" w:hint="default"/>
      </w:rPr>
    </w:lvl>
    <w:lvl w:ilvl="1" w:tplc="EBEC550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74C"/>
    <w:multiLevelType w:val="hybridMultilevel"/>
    <w:tmpl w:val="8CAC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66FE2"/>
    <w:multiLevelType w:val="hybridMultilevel"/>
    <w:tmpl w:val="F2E6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D7821"/>
    <w:multiLevelType w:val="hybridMultilevel"/>
    <w:tmpl w:val="9E0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B7277"/>
    <w:multiLevelType w:val="hybridMultilevel"/>
    <w:tmpl w:val="21B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A06"/>
    <w:multiLevelType w:val="hybridMultilevel"/>
    <w:tmpl w:val="8A9E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82873"/>
    <w:multiLevelType w:val="hybridMultilevel"/>
    <w:tmpl w:val="EF40EE20"/>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4A2478F5"/>
    <w:multiLevelType w:val="hybridMultilevel"/>
    <w:tmpl w:val="93BAC2A2"/>
    <w:lvl w:ilvl="0" w:tplc="48986E8C">
      <w:numFmt w:val="bullet"/>
      <w:lvlText w:val="-"/>
      <w:lvlJc w:val="left"/>
      <w:pPr>
        <w:ind w:left="1080" w:hanging="360"/>
      </w:pPr>
      <w:rPr>
        <w:rFonts w:ascii="Calibri" w:eastAsia="Arial"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F409C0"/>
    <w:multiLevelType w:val="hybridMultilevel"/>
    <w:tmpl w:val="7018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E2074"/>
    <w:multiLevelType w:val="hybridMultilevel"/>
    <w:tmpl w:val="F7066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573ED"/>
    <w:multiLevelType w:val="hybridMultilevel"/>
    <w:tmpl w:val="3ED4A6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760D88"/>
    <w:multiLevelType w:val="hybridMultilevel"/>
    <w:tmpl w:val="010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D6BC1"/>
    <w:multiLevelType w:val="hybridMultilevel"/>
    <w:tmpl w:val="327A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60374"/>
    <w:multiLevelType w:val="hybridMultilevel"/>
    <w:tmpl w:val="3412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A1963"/>
    <w:multiLevelType w:val="hybridMultilevel"/>
    <w:tmpl w:val="17D21EF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0E57939"/>
    <w:multiLevelType w:val="hybridMultilevel"/>
    <w:tmpl w:val="B02C02D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57081"/>
    <w:multiLevelType w:val="hybridMultilevel"/>
    <w:tmpl w:val="C1AA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59D4E"/>
    <w:multiLevelType w:val="hybridMultilevel"/>
    <w:tmpl w:val="859E87F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36905373">
    <w:abstractNumId w:val="22"/>
  </w:num>
  <w:num w:numId="2" w16cid:durableId="174921291">
    <w:abstractNumId w:val="0"/>
  </w:num>
  <w:num w:numId="3" w16cid:durableId="229074182">
    <w:abstractNumId w:val="11"/>
  </w:num>
  <w:num w:numId="4" w16cid:durableId="1682851428">
    <w:abstractNumId w:val="16"/>
  </w:num>
  <w:num w:numId="5" w16cid:durableId="565188480">
    <w:abstractNumId w:val="7"/>
  </w:num>
  <w:num w:numId="6" w16cid:durableId="878467449">
    <w:abstractNumId w:val="6"/>
  </w:num>
  <w:num w:numId="7" w16cid:durableId="1614359655">
    <w:abstractNumId w:val="8"/>
  </w:num>
  <w:num w:numId="8" w16cid:durableId="561251733">
    <w:abstractNumId w:val="3"/>
  </w:num>
  <w:num w:numId="9" w16cid:durableId="1170173269">
    <w:abstractNumId w:val="5"/>
  </w:num>
  <w:num w:numId="10" w16cid:durableId="2011441139">
    <w:abstractNumId w:val="15"/>
  </w:num>
  <w:num w:numId="11" w16cid:durableId="440957433">
    <w:abstractNumId w:val="12"/>
  </w:num>
  <w:num w:numId="12" w16cid:durableId="1446730690">
    <w:abstractNumId w:val="9"/>
  </w:num>
  <w:num w:numId="13" w16cid:durableId="2116706166">
    <w:abstractNumId w:val="1"/>
  </w:num>
  <w:num w:numId="14" w16cid:durableId="2118716024">
    <w:abstractNumId w:val="4"/>
  </w:num>
  <w:num w:numId="15" w16cid:durableId="1223252516">
    <w:abstractNumId w:val="17"/>
  </w:num>
  <w:num w:numId="16" w16cid:durableId="958029097">
    <w:abstractNumId w:val="2"/>
  </w:num>
  <w:num w:numId="17" w16cid:durableId="813644927">
    <w:abstractNumId w:val="14"/>
  </w:num>
  <w:num w:numId="18" w16cid:durableId="1356270230">
    <w:abstractNumId w:val="19"/>
  </w:num>
  <w:num w:numId="19" w16cid:durableId="410810851">
    <w:abstractNumId w:val="21"/>
  </w:num>
  <w:num w:numId="20" w16cid:durableId="54740508">
    <w:abstractNumId w:val="18"/>
  </w:num>
  <w:num w:numId="21" w16cid:durableId="1362240666">
    <w:abstractNumId w:val="20"/>
  </w:num>
  <w:num w:numId="22" w16cid:durableId="1800369091">
    <w:abstractNumId w:val="13"/>
  </w:num>
  <w:num w:numId="23" w16cid:durableId="119381080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k, Rhianna">
    <w15:presenceInfo w15:providerId="AD" w15:userId="S::RHIANNA.FINK@CUANSCHUTZ.EDU::8945e36a-14ca-4a64-8e53-c58132725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3E"/>
    <w:rsid w:val="00002725"/>
    <w:rsid w:val="00006DE4"/>
    <w:rsid w:val="00007438"/>
    <w:rsid w:val="00026CD8"/>
    <w:rsid w:val="00033179"/>
    <w:rsid w:val="00041ECB"/>
    <w:rsid w:val="00044BEB"/>
    <w:rsid w:val="00052003"/>
    <w:rsid w:val="0005318C"/>
    <w:rsid w:val="0005382D"/>
    <w:rsid w:val="00054395"/>
    <w:rsid w:val="00063B92"/>
    <w:rsid w:val="000661BE"/>
    <w:rsid w:val="00072729"/>
    <w:rsid w:val="00077B68"/>
    <w:rsid w:val="000859C1"/>
    <w:rsid w:val="00087252"/>
    <w:rsid w:val="000A2882"/>
    <w:rsid w:val="000A4271"/>
    <w:rsid w:val="000B0095"/>
    <w:rsid w:val="000B3B05"/>
    <w:rsid w:val="000C6F9A"/>
    <w:rsid w:val="000E4A53"/>
    <w:rsid w:val="000F0352"/>
    <w:rsid w:val="000F2738"/>
    <w:rsid w:val="000F2E4F"/>
    <w:rsid w:val="000F57DA"/>
    <w:rsid w:val="000F6B07"/>
    <w:rsid w:val="00101257"/>
    <w:rsid w:val="0010168C"/>
    <w:rsid w:val="00102273"/>
    <w:rsid w:val="00102B7B"/>
    <w:rsid w:val="00105E83"/>
    <w:rsid w:val="00113DD8"/>
    <w:rsid w:val="00113EDF"/>
    <w:rsid w:val="00117536"/>
    <w:rsid w:val="0016226C"/>
    <w:rsid w:val="001628B3"/>
    <w:rsid w:val="00172873"/>
    <w:rsid w:val="00174B1A"/>
    <w:rsid w:val="00176CC7"/>
    <w:rsid w:val="00177D31"/>
    <w:rsid w:val="001851AE"/>
    <w:rsid w:val="001967D4"/>
    <w:rsid w:val="001A1376"/>
    <w:rsid w:val="001A3374"/>
    <w:rsid w:val="001A4783"/>
    <w:rsid w:val="001B0CAF"/>
    <w:rsid w:val="001C13EB"/>
    <w:rsid w:val="001E0F9D"/>
    <w:rsid w:val="001E657C"/>
    <w:rsid w:val="001F062C"/>
    <w:rsid w:val="001F0962"/>
    <w:rsid w:val="001F317C"/>
    <w:rsid w:val="001F3F56"/>
    <w:rsid w:val="001F501B"/>
    <w:rsid w:val="00202708"/>
    <w:rsid w:val="0020576A"/>
    <w:rsid w:val="00205E80"/>
    <w:rsid w:val="002116E7"/>
    <w:rsid w:val="00211D65"/>
    <w:rsid w:val="0021578D"/>
    <w:rsid w:val="00221A50"/>
    <w:rsid w:val="0022575E"/>
    <w:rsid w:val="0022699F"/>
    <w:rsid w:val="00233D5C"/>
    <w:rsid w:val="0024164A"/>
    <w:rsid w:val="00242B32"/>
    <w:rsid w:val="00247E84"/>
    <w:rsid w:val="00251ADB"/>
    <w:rsid w:val="00255458"/>
    <w:rsid w:val="00256D9D"/>
    <w:rsid w:val="00277510"/>
    <w:rsid w:val="0027783B"/>
    <w:rsid w:val="00290E62"/>
    <w:rsid w:val="0029229E"/>
    <w:rsid w:val="00295393"/>
    <w:rsid w:val="002965DF"/>
    <w:rsid w:val="002A291E"/>
    <w:rsid w:val="002B08F4"/>
    <w:rsid w:val="002B3084"/>
    <w:rsid w:val="002C220A"/>
    <w:rsid w:val="002C3C41"/>
    <w:rsid w:val="002D417B"/>
    <w:rsid w:val="002E6132"/>
    <w:rsid w:val="002F6CAF"/>
    <w:rsid w:val="00304286"/>
    <w:rsid w:val="00311D20"/>
    <w:rsid w:val="00317E90"/>
    <w:rsid w:val="00327D29"/>
    <w:rsid w:val="00347034"/>
    <w:rsid w:val="00356624"/>
    <w:rsid w:val="00356708"/>
    <w:rsid w:val="003573AD"/>
    <w:rsid w:val="0036288F"/>
    <w:rsid w:val="003636FA"/>
    <w:rsid w:val="00384737"/>
    <w:rsid w:val="003A2241"/>
    <w:rsid w:val="003A3FC4"/>
    <w:rsid w:val="003A752E"/>
    <w:rsid w:val="003B4440"/>
    <w:rsid w:val="003B5B82"/>
    <w:rsid w:val="003B7B2C"/>
    <w:rsid w:val="003C2894"/>
    <w:rsid w:val="003C480D"/>
    <w:rsid w:val="003D1A68"/>
    <w:rsid w:val="003D3A84"/>
    <w:rsid w:val="003D4AC9"/>
    <w:rsid w:val="003E56D9"/>
    <w:rsid w:val="003F37EB"/>
    <w:rsid w:val="003F64E0"/>
    <w:rsid w:val="00400866"/>
    <w:rsid w:val="004128F8"/>
    <w:rsid w:val="00424291"/>
    <w:rsid w:val="00425AFE"/>
    <w:rsid w:val="00434FEE"/>
    <w:rsid w:val="00450CB9"/>
    <w:rsid w:val="00455CBE"/>
    <w:rsid w:val="00464EC3"/>
    <w:rsid w:val="00466C00"/>
    <w:rsid w:val="00470C4B"/>
    <w:rsid w:val="004951B8"/>
    <w:rsid w:val="004B028A"/>
    <w:rsid w:val="004B6571"/>
    <w:rsid w:val="004B7950"/>
    <w:rsid w:val="004B7A74"/>
    <w:rsid w:val="004C12F0"/>
    <w:rsid w:val="004C17EB"/>
    <w:rsid w:val="004C24BD"/>
    <w:rsid w:val="004C5A5B"/>
    <w:rsid w:val="004D21A2"/>
    <w:rsid w:val="004D2870"/>
    <w:rsid w:val="004D530A"/>
    <w:rsid w:val="004E0514"/>
    <w:rsid w:val="004E54DE"/>
    <w:rsid w:val="004E557D"/>
    <w:rsid w:val="004F1233"/>
    <w:rsid w:val="004F21BF"/>
    <w:rsid w:val="004F4B37"/>
    <w:rsid w:val="004F4C3E"/>
    <w:rsid w:val="005003AC"/>
    <w:rsid w:val="00501685"/>
    <w:rsid w:val="00506913"/>
    <w:rsid w:val="005228E1"/>
    <w:rsid w:val="00524EFD"/>
    <w:rsid w:val="0052594D"/>
    <w:rsid w:val="0053113E"/>
    <w:rsid w:val="005343EB"/>
    <w:rsid w:val="00535D49"/>
    <w:rsid w:val="0054144C"/>
    <w:rsid w:val="00554990"/>
    <w:rsid w:val="00556317"/>
    <w:rsid w:val="0056219B"/>
    <w:rsid w:val="00563F76"/>
    <w:rsid w:val="005823B6"/>
    <w:rsid w:val="005863B3"/>
    <w:rsid w:val="00590139"/>
    <w:rsid w:val="005903DE"/>
    <w:rsid w:val="0059079C"/>
    <w:rsid w:val="00590D34"/>
    <w:rsid w:val="00592DCF"/>
    <w:rsid w:val="00595C39"/>
    <w:rsid w:val="00597902"/>
    <w:rsid w:val="005C4373"/>
    <w:rsid w:val="005C4423"/>
    <w:rsid w:val="005C4D9E"/>
    <w:rsid w:val="005D39E6"/>
    <w:rsid w:val="005E0282"/>
    <w:rsid w:val="005E2CD8"/>
    <w:rsid w:val="005E55F0"/>
    <w:rsid w:val="005E7349"/>
    <w:rsid w:val="005F4DF3"/>
    <w:rsid w:val="00602BE9"/>
    <w:rsid w:val="0060495A"/>
    <w:rsid w:val="0061469A"/>
    <w:rsid w:val="00614BB6"/>
    <w:rsid w:val="00622368"/>
    <w:rsid w:val="00624A57"/>
    <w:rsid w:val="00624E97"/>
    <w:rsid w:val="00631DD9"/>
    <w:rsid w:val="00632D73"/>
    <w:rsid w:val="0063577B"/>
    <w:rsid w:val="006419E3"/>
    <w:rsid w:val="00642CC3"/>
    <w:rsid w:val="00660E91"/>
    <w:rsid w:val="00673927"/>
    <w:rsid w:val="00684CA0"/>
    <w:rsid w:val="00684D09"/>
    <w:rsid w:val="00685581"/>
    <w:rsid w:val="00694713"/>
    <w:rsid w:val="006964DF"/>
    <w:rsid w:val="006B0768"/>
    <w:rsid w:val="006B30DB"/>
    <w:rsid w:val="006B6074"/>
    <w:rsid w:val="006C68E1"/>
    <w:rsid w:val="006C705B"/>
    <w:rsid w:val="006D6AC4"/>
    <w:rsid w:val="006D73DA"/>
    <w:rsid w:val="006E46FE"/>
    <w:rsid w:val="006E563E"/>
    <w:rsid w:val="006F0973"/>
    <w:rsid w:val="006F0B16"/>
    <w:rsid w:val="006F4F43"/>
    <w:rsid w:val="006F5F2F"/>
    <w:rsid w:val="00703D16"/>
    <w:rsid w:val="00704A7D"/>
    <w:rsid w:val="00711A7A"/>
    <w:rsid w:val="00716FD2"/>
    <w:rsid w:val="00722172"/>
    <w:rsid w:val="00732240"/>
    <w:rsid w:val="007331C3"/>
    <w:rsid w:val="00737425"/>
    <w:rsid w:val="00744BC3"/>
    <w:rsid w:val="00760EE0"/>
    <w:rsid w:val="007768DA"/>
    <w:rsid w:val="007779DA"/>
    <w:rsid w:val="00781056"/>
    <w:rsid w:val="00784822"/>
    <w:rsid w:val="00787A4B"/>
    <w:rsid w:val="007931BA"/>
    <w:rsid w:val="00795C8F"/>
    <w:rsid w:val="007A3F77"/>
    <w:rsid w:val="007A558C"/>
    <w:rsid w:val="007B13D5"/>
    <w:rsid w:val="007B3257"/>
    <w:rsid w:val="007B551A"/>
    <w:rsid w:val="007C26B6"/>
    <w:rsid w:val="007C70FF"/>
    <w:rsid w:val="007D12BE"/>
    <w:rsid w:val="007E2216"/>
    <w:rsid w:val="007F5471"/>
    <w:rsid w:val="007F74E8"/>
    <w:rsid w:val="0080683B"/>
    <w:rsid w:val="00812992"/>
    <w:rsid w:val="00814758"/>
    <w:rsid w:val="008162BF"/>
    <w:rsid w:val="00821E91"/>
    <w:rsid w:val="0082311E"/>
    <w:rsid w:val="008243BD"/>
    <w:rsid w:val="00831E3D"/>
    <w:rsid w:val="00842B7D"/>
    <w:rsid w:val="0084371F"/>
    <w:rsid w:val="00862AE0"/>
    <w:rsid w:val="008714D0"/>
    <w:rsid w:val="00871C97"/>
    <w:rsid w:val="00875AE5"/>
    <w:rsid w:val="0088252A"/>
    <w:rsid w:val="008A422B"/>
    <w:rsid w:val="008A5171"/>
    <w:rsid w:val="008B4CFF"/>
    <w:rsid w:val="008B6F65"/>
    <w:rsid w:val="008B7C78"/>
    <w:rsid w:val="008C0A94"/>
    <w:rsid w:val="008C7076"/>
    <w:rsid w:val="008D37D0"/>
    <w:rsid w:val="008D6795"/>
    <w:rsid w:val="008D7D0B"/>
    <w:rsid w:val="008E291F"/>
    <w:rsid w:val="009060A0"/>
    <w:rsid w:val="0090682D"/>
    <w:rsid w:val="00915037"/>
    <w:rsid w:val="009160B5"/>
    <w:rsid w:val="00917E80"/>
    <w:rsid w:val="00921F01"/>
    <w:rsid w:val="009225E1"/>
    <w:rsid w:val="00923158"/>
    <w:rsid w:val="009341C3"/>
    <w:rsid w:val="00935D85"/>
    <w:rsid w:val="009559FF"/>
    <w:rsid w:val="0096772A"/>
    <w:rsid w:val="009713B5"/>
    <w:rsid w:val="00973FA0"/>
    <w:rsid w:val="00976880"/>
    <w:rsid w:val="009829A0"/>
    <w:rsid w:val="00986034"/>
    <w:rsid w:val="00987849"/>
    <w:rsid w:val="009B1AF2"/>
    <w:rsid w:val="009B5EEB"/>
    <w:rsid w:val="009B62DB"/>
    <w:rsid w:val="009B73E1"/>
    <w:rsid w:val="009C12D6"/>
    <w:rsid w:val="009C3A1E"/>
    <w:rsid w:val="009C3AAC"/>
    <w:rsid w:val="009C4A64"/>
    <w:rsid w:val="009D4341"/>
    <w:rsid w:val="009F4495"/>
    <w:rsid w:val="00A00DEB"/>
    <w:rsid w:val="00A02597"/>
    <w:rsid w:val="00A02BD8"/>
    <w:rsid w:val="00A10BAA"/>
    <w:rsid w:val="00A2771B"/>
    <w:rsid w:val="00A40B7C"/>
    <w:rsid w:val="00A468F4"/>
    <w:rsid w:val="00A55EE7"/>
    <w:rsid w:val="00A65B27"/>
    <w:rsid w:val="00A74CC3"/>
    <w:rsid w:val="00A807BF"/>
    <w:rsid w:val="00A850EA"/>
    <w:rsid w:val="00A86FB9"/>
    <w:rsid w:val="00A90BF8"/>
    <w:rsid w:val="00A9667E"/>
    <w:rsid w:val="00AB2791"/>
    <w:rsid w:val="00AB304A"/>
    <w:rsid w:val="00AC777F"/>
    <w:rsid w:val="00AC7ABD"/>
    <w:rsid w:val="00AD0AAC"/>
    <w:rsid w:val="00AD11C4"/>
    <w:rsid w:val="00AD2ED8"/>
    <w:rsid w:val="00AF0250"/>
    <w:rsid w:val="00AF518F"/>
    <w:rsid w:val="00B01123"/>
    <w:rsid w:val="00B03455"/>
    <w:rsid w:val="00B13345"/>
    <w:rsid w:val="00B15174"/>
    <w:rsid w:val="00B2185D"/>
    <w:rsid w:val="00B2452F"/>
    <w:rsid w:val="00B2568A"/>
    <w:rsid w:val="00B35B70"/>
    <w:rsid w:val="00B41F9B"/>
    <w:rsid w:val="00B60F23"/>
    <w:rsid w:val="00B741A1"/>
    <w:rsid w:val="00B95EA8"/>
    <w:rsid w:val="00BB3129"/>
    <w:rsid w:val="00BB63C2"/>
    <w:rsid w:val="00BB70A9"/>
    <w:rsid w:val="00BC096E"/>
    <w:rsid w:val="00BC2A51"/>
    <w:rsid w:val="00BD108E"/>
    <w:rsid w:val="00BD6D04"/>
    <w:rsid w:val="00BE0763"/>
    <w:rsid w:val="00BE1828"/>
    <w:rsid w:val="00BE6A40"/>
    <w:rsid w:val="00BF54AA"/>
    <w:rsid w:val="00C00A2C"/>
    <w:rsid w:val="00C03276"/>
    <w:rsid w:val="00C03BB2"/>
    <w:rsid w:val="00C11017"/>
    <w:rsid w:val="00C11E36"/>
    <w:rsid w:val="00C12059"/>
    <w:rsid w:val="00C13E98"/>
    <w:rsid w:val="00C14108"/>
    <w:rsid w:val="00C1455B"/>
    <w:rsid w:val="00C21B1D"/>
    <w:rsid w:val="00C24691"/>
    <w:rsid w:val="00C36525"/>
    <w:rsid w:val="00C4729B"/>
    <w:rsid w:val="00C56B6B"/>
    <w:rsid w:val="00C57138"/>
    <w:rsid w:val="00C733F1"/>
    <w:rsid w:val="00C779B8"/>
    <w:rsid w:val="00C85861"/>
    <w:rsid w:val="00C922A8"/>
    <w:rsid w:val="00C945AD"/>
    <w:rsid w:val="00C95496"/>
    <w:rsid w:val="00C95D9B"/>
    <w:rsid w:val="00CA5F23"/>
    <w:rsid w:val="00CA7490"/>
    <w:rsid w:val="00CB1F4A"/>
    <w:rsid w:val="00CB6290"/>
    <w:rsid w:val="00CC0432"/>
    <w:rsid w:val="00CC1060"/>
    <w:rsid w:val="00CD1BF4"/>
    <w:rsid w:val="00CD2DA3"/>
    <w:rsid w:val="00CE6A7D"/>
    <w:rsid w:val="00CF1DB5"/>
    <w:rsid w:val="00D030B5"/>
    <w:rsid w:val="00D030CE"/>
    <w:rsid w:val="00D177B0"/>
    <w:rsid w:val="00D225FE"/>
    <w:rsid w:val="00D26314"/>
    <w:rsid w:val="00D34A47"/>
    <w:rsid w:val="00D40697"/>
    <w:rsid w:val="00D41003"/>
    <w:rsid w:val="00D42CEC"/>
    <w:rsid w:val="00D64F30"/>
    <w:rsid w:val="00D65B53"/>
    <w:rsid w:val="00D67BA7"/>
    <w:rsid w:val="00D74139"/>
    <w:rsid w:val="00D741A6"/>
    <w:rsid w:val="00D75912"/>
    <w:rsid w:val="00D83007"/>
    <w:rsid w:val="00D86E67"/>
    <w:rsid w:val="00D8772D"/>
    <w:rsid w:val="00D94B7F"/>
    <w:rsid w:val="00DA1297"/>
    <w:rsid w:val="00DA757C"/>
    <w:rsid w:val="00DB2B7E"/>
    <w:rsid w:val="00DB6130"/>
    <w:rsid w:val="00DB7D48"/>
    <w:rsid w:val="00DC281E"/>
    <w:rsid w:val="00DC3982"/>
    <w:rsid w:val="00DC7185"/>
    <w:rsid w:val="00DC7C7F"/>
    <w:rsid w:val="00DD230C"/>
    <w:rsid w:val="00DE53C6"/>
    <w:rsid w:val="00DE7BCC"/>
    <w:rsid w:val="00E04B49"/>
    <w:rsid w:val="00E16E7B"/>
    <w:rsid w:val="00E20A16"/>
    <w:rsid w:val="00E30AC0"/>
    <w:rsid w:val="00E3136D"/>
    <w:rsid w:val="00E32045"/>
    <w:rsid w:val="00E37459"/>
    <w:rsid w:val="00E41487"/>
    <w:rsid w:val="00E469A0"/>
    <w:rsid w:val="00E564FF"/>
    <w:rsid w:val="00E577EA"/>
    <w:rsid w:val="00E64739"/>
    <w:rsid w:val="00E66A76"/>
    <w:rsid w:val="00E7047B"/>
    <w:rsid w:val="00E71ADB"/>
    <w:rsid w:val="00E71CFB"/>
    <w:rsid w:val="00E72700"/>
    <w:rsid w:val="00E8191B"/>
    <w:rsid w:val="00E81E4C"/>
    <w:rsid w:val="00E97488"/>
    <w:rsid w:val="00EA40C3"/>
    <w:rsid w:val="00EA4840"/>
    <w:rsid w:val="00EC20E4"/>
    <w:rsid w:val="00EC4DED"/>
    <w:rsid w:val="00EC4F60"/>
    <w:rsid w:val="00ED5184"/>
    <w:rsid w:val="00EE292F"/>
    <w:rsid w:val="00EE3409"/>
    <w:rsid w:val="00EF3CCA"/>
    <w:rsid w:val="00EF65FE"/>
    <w:rsid w:val="00EF7D08"/>
    <w:rsid w:val="00F01A30"/>
    <w:rsid w:val="00F2263F"/>
    <w:rsid w:val="00F22E54"/>
    <w:rsid w:val="00F356E4"/>
    <w:rsid w:val="00F361A5"/>
    <w:rsid w:val="00F3715E"/>
    <w:rsid w:val="00F47269"/>
    <w:rsid w:val="00F47ECC"/>
    <w:rsid w:val="00F47F33"/>
    <w:rsid w:val="00F50190"/>
    <w:rsid w:val="00F51E5D"/>
    <w:rsid w:val="00F53720"/>
    <w:rsid w:val="00F53D64"/>
    <w:rsid w:val="00F54AE5"/>
    <w:rsid w:val="00F558C2"/>
    <w:rsid w:val="00F6119B"/>
    <w:rsid w:val="00F75871"/>
    <w:rsid w:val="00F75AE2"/>
    <w:rsid w:val="00F854D2"/>
    <w:rsid w:val="00F94E22"/>
    <w:rsid w:val="00F95811"/>
    <w:rsid w:val="00FA2E76"/>
    <w:rsid w:val="00FA30CD"/>
    <w:rsid w:val="00FA3259"/>
    <w:rsid w:val="00FA7F1F"/>
    <w:rsid w:val="00FB5B41"/>
    <w:rsid w:val="00FC1D2D"/>
    <w:rsid w:val="00FC1EC2"/>
    <w:rsid w:val="00FC6106"/>
    <w:rsid w:val="00FD06C1"/>
    <w:rsid w:val="00FD2993"/>
    <w:rsid w:val="0A1E68ED"/>
    <w:rsid w:val="450EE945"/>
    <w:rsid w:val="641C73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3EC093EA"/>
  <w15:docId w15:val="{C5DCD02F-D66C-4094-B293-15922391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uiPriority="10" w:qFormat="1"/>
    <w:lsdException w:name="Default Paragraph Font" w:locked="1"/>
    <w:lsdException w:name="Body Text" w:uiPriority="1" w:qFormat="1"/>
    <w:lsdException w:name="Subtitle" w:locked="1" w:qFormat="1"/>
    <w:lsdException w:name="Hyperlink" w:uiPriority="99"/>
    <w:lsdException w:name="Strong" w:locked="1" w:qFormat="1"/>
    <w:lsdException w:name="Emphasis" w:locked="1"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47"/>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63E"/>
    <w:pPr>
      <w:spacing w:after="200"/>
    </w:pPr>
    <w:rPr>
      <w:rFonts w:eastAsia="Times New Roman"/>
      <w:sz w:val="24"/>
      <w:szCs w:val="24"/>
      <w:lang w:eastAsia="en-US"/>
    </w:rPr>
  </w:style>
  <w:style w:type="paragraph" w:styleId="Heading1">
    <w:name w:val="heading 1"/>
    <w:basedOn w:val="Normal"/>
    <w:next w:val="Normal"/>
    <w:link w:val="Heading1Char"/>
    <w:uiPriority w:val="9"/>
    <w:qFormat/>
    <w:locked/>
    <w:rsid w:val="00562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63E"/>
    <w:pPr>
      <w:widowControl w:val="0"/>
      <w:autoSpaceDE w:val="0"/>
      <w:autoSpaceDN w:val="0"/>
      <w:adjustRightInd w:val="0"/>
    </w:pPr>
    <w:rPr>
      <w:rFonts w:ascii="Tahoma" w:eastAsia="Times New Roman" w:hAnsi="Tahoma" w:cs="Tahoma"/>
      <w:color w:val="000000"/>
      <w:sz w:val="24"/>
      <w:szCs w:val="24"/>
      <w:lang w:eastAsia="en-US"/>
    </w:rPr>
  </w:style>
  <w:style w:type="character" w:styleId="CommentReference">
    <w:name w:val="annotation reference"/>
    <w:uiPriority w:val="99"/>
    <w:semiHidden/>
    <w:rsid w:val="006E563E"/>
    <w:rPr>
      <w:sz w:val="18"/>
    </w:rPr>
  </w:style>
  <w:style w:type="paragraph" w:styleId="CommentText">
    <w:name w:val="annotation text"/>
    <w:basedOn w:val="Normal"/>
    <w:link w:val="CommentTextChar"/>
    <w:uiPriority w:val="99"/>
    <w:semiHidden/>
    <w:rsid w:val="006E563E"/>
  </w:style>
  <w:style w:type="character" w:customStyle="1" w:styleId="CommentTextChar">
    <w:name w:val="Comment Text Char"/>
    <w:link w:val="CommentText"/>
    <w:uiPriority w:val="99"/>
    <w:semiHidden/>
    <w:locked/>
    <w:rsid w:val="006E563E"/>
    <w:rPr>
      <w:rFonts w:ascii="Cambria" w:eastAsia="Times New Roman" w:hAnsi="Cambria" w:cs="Times New Roman"/>
    </w:rPr>
  </w:style>
  <w:style w:type="paragraph" w:styleId="BalloonText">
    <w:name w:val="Balloon Text"/>
    <w:basedOn w:val="Normal"/>
    <w:link w:val="BalloonTextChar"/>
    <w:semiHidden/>
    <w:rsid w:val="006E563E"/>
    <w:pPr>
      <w:spacing w:after="0"/>
    </w:pPr>
    <w:rPr>
      <w:rFonts w:ascii="Lucida Grande" w:hAnsi="Lucida Grande" w:cs="Lucida Grande"/>
      <w:sz w:val="18"/>
      <w:szCs w:val="18"/>
    </w:rPr>
  </w:style>
  <w:style w:type="character" w:customStyle="1" w:styleId="BalloonTextChar">
    <w:name w:val="Balloon Text Char"/>
    <w:link w:val="BalloonText"/>
    <w:semiHidden/>
    <w:locked/>
    <w:rsid w:val="006E563E"/>
    <w:rPr>
      <w:rFonts w:ascii="Lucida Grande" w:eastAsia="Times New Roman" w:hAnsi="Lucida Grande" w:cs="Lucida Grande"/>
      <w:sz w:val="18"/>
      <w:szCs w:val="18"/>
    </w:rPr>
  </w:style>
  <w:style w:type="paragraph" w:customStyle="1" w:styleId="MediumGrid1-Accent21">
    <w:name w:val="Medium Grid 1 - Accent 21"/>
    <w:basedOn w:val="Normal"/>
    <w:qFormat/>
    <w:rsid w:val="006E563E"/>
    <w:pPr>
      <w:ind w:left="720"/>
      <w:contextualSpacing/>
    </w:pPr>
  </w:style>
  <w:style w:type="paragraph" w:styleId="CommentSubject">
    <w:name w:val="annotation subject"/>
    <w:basedOn w:val="CommentText"/>
    <w:next w:val="CommentText"/>
    <w:link w:val="CommentSubjectChar"/>
    <w:semiHidden/>
    <w:rsid w:val="00C922A8"/>
    <w:rPr>
      <w:b/>
      <w:bCs/>
      <w:sz w:val="20"/>
      <w:szCs w:val="20"/>
    </w:rPr>
  </w:style>
  <w:style w:type="character" w:customStyle="1" w:styleId="CommentSubjectChar">
    <w:name w:val="Comment Subject Char"/>
    <w:link w:val="CommentSubject"/>
    <w:semiHidden/>
    <w:locked/>
    <w:rsid w:val="00C922A8"/>
    <w:rPr>
      <w:rFonts w:ascii="Cambria" w:eastAsia="Times New Roman" w:hAnsi="Cambria" w:cs="Times New Roman"/>
      <w:b/>
      <w:bCs/>
      <w:sz w:val="20"/>
      <w:szCs w:val="20"/>
    </w:rPr>
  </w:style>
  <w:style w:type="table" w:styleId="TableGrid">
    <w:name w:val="Table Grid"/>
    <w:basedOn w:val="TableNormal"/>
    <w:uiPriority w:val="39"/>
    <w:rsid w:val="00F4726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B7B2C"/>
    <w:pPr>
      <w:tabs>
        <w:tab w:val="center" w:pos="4320"/>
        <w:tab w:val="right" w:pos="8640"/>
      </w:tabs>
      <w:spacing w:after="0"/>
    </w:pPr>
  </w:style>
  <w:style w:type="character" w:customStyle="1" w:styleId="HeaderChar">
    <w:name w:val="Header Char"/>
    <w:link w:val="Header"/>
    <w:uiPriority w:val="99"/>
    <w:locked/>
    <w:rsid w:val="003B7B2C"/>
    <w:rPr>
      <w:rFonts w:ascii="Cambria" w:eastAsia="Times New Roman" w:hAnsi="Cambria" w:cs="Times New Roman"/>
    </w:rPr>
  </w:style>
  <w:style w:type="paragraph" w:styleId="Footer">
    <w:name w:val="footer"/>
    <w:basedOn w:val="Normal"/>
    <w:link w:val="FooterChar"/>
    <w:uiPriority w:val="99"/>
    <w:rsid w:val="003B7B2C"/>
    <w:pPr>
      <w:tabs>
        <w:tab w:val="center" w:pos="4320"/>
        <w:tab w:val="right" w:pos="8640"/>
      </w:tabs>
      <w:spacing w:after="0"/>
    </w:pPr>
  </w:style>
  <w:style w:type="character" w:customStyle="1" w:styleId="FooterChar">
    <w:name w:val="Footer Char"/>
    <w:link w:val="Footer"/>
    <w:uiPriority w:val="99"/>
    <w:locked/>
    <w:rsid w:val="003B7B2C"/>
    <w:rPr>
      <w:rFonts w:ascii="Cambria" w:eastAsia="Times New Roman" w:hAnsi="Cambria" w:cs="Times New Roman"/>
    </w:rPr>
  </w:style>
  <w:style w:type="character" w:styleId="PageNumber">
    <w:name w:val="page number"/>
    <w:semiHidden/>
    <w:rsid w:val="003B7B2C"/>
    <w:rPr>
      <w:rFonts w:cs="Times New Roman"/>
    </w:rPr>
  </w:style>
  <w:style w:type="paragraph" w:customStyle="1" w:styleId="ColorfulList-Accent11">
    <w:name w:val="Colorful List - Accent 11"/>
    <w:basedOn w:val="Normal"/>
    <w:qFormat/>
    <w:rsid w:val="007931BA"/>
    <w:pPr>
      <w:ind w:left="720"/>
      <w:contextualSpacing/>
    </w:pPr>
  </w:style>
  <w:style w:type="character" w:styleId="Hyperlink">
    <w:name w:val="Hyperlink"/>
    <w:uiPriority w:val="99"/>
    <w:unhideWhenUsed/>
    <w:rsid w:val="00BE6A40"/>
    <w:rPr>
      <w:color w:val="0000FF"/>
      <w:u w:val="single"/>
    </w:rPr>
  </w:style>
  <w:style w:type="paragraph" w:styleId="Revision">
    <w:name w:val="Revision"/>
    <w:hidden/>
    <w:uiPriority w:val="62"/>
    <w:rsid w:val="0016226C"/>
    <w:rPr>
      <w:rFonts w:eastAsia="Times New Roman"/>
      <w:sz w:val="24"/>
      <w:szCs w:val="24"/>
      <w:lang w:eastAsia="en-US"/>
    </w:rPr>
  </w:style>
  <w:style w:type="paragraph" w:styleId="BodyText">
    <w:name w:val="Body Text"/>
    <w:basedOn w:val="Normal"/>
    <w:link w:val="BodyTextChar"/>
    <w:uiPriority w:val="1"/>
    <w:unhideWhenUsed/>
    <w:qFormat/>
    <w:rsid w:val="00FD06C1"/>
    <w:pPr>
      <w:widowControl w:val="0"/>
      <w:autoSpaceDE w:val="0"/>
      <w:autoSpaceDN w:val="0"/>
      <w:spacing w:after="0"/>
    </w:pPr>
    <w:rPr>
      <w:rFonts w:ascii="Arial" w:eastAsia="Arial" w:hAnsi="Arial" w:cs="Arial"/>
      <w:sz w:val="20"/>
      <w:szCs w:val="20"/>
    </w:rPr>
  </w:style>
  <w:style w:type="character" w:customStyle="1" w:styleId="BodyTextChar">
    <w:name w:val="Body Text Char"/>
    <w:basedOn w:val="DefaultParagraphFont"/>
    <w:link w:val="BodyText"/>
    <w:uiPriority w:val="1"/>
    <w:rsid w:val="00FD06C1"/>
    <w:rPr>
      <w:rFonts w:ascii="Arial" w:eastAsia="Arial" w:hAnsi="Arial" w:cs="Arial"/>
      <w:lang w:eastAsia="en-US"/>
    </w:rPr>
  </w:style>
  <w:style w:type="paragraph" w:styleId="ListParagraph">
    <w:name w:val="List Paragraph"/>
    <w:basedOn w:val="Normal"/>
    <w:uiPriority w:val="34"/>
    <w:qFormat/>
    <w:rsid w:val="00FD06C1"/>
    <w:pPr>
      <w:widowControl w:val="0"/>
      <w:autoSpaceDE w:val="0"/>
      <w:autoSpaceDN w:val="0"/>
      <w:spacing w:after="0"/>
      <w:ind w:left="2880" w:hanging="720"/>
    </w:pPr>
    <w:rPr>
      <w:rFonts w:ascii="Arial" w:eastAsia="Arial" w:hAnsi="Arial" w:cs="Arial"/>
      <w:sz w:val="22"/>
      <w:szCs w:val="22"/>
    </w:rPr>
  </w:style>
  <w:style w:type="character" w:styleId="Emphasis">
    <w:name w:val="Emphasis"/>
    <w:uiPriority w:val="20"/>
    <w:qFormat/>
    <w:locked/>
    <w:rsid w:val="0056219B"/>
    <w:rPr>
      <w:i/>
      <w:iCs/>
    </w:rPr>
  </w:style>
  <w:style w:type="table" w:styleId="GridTable4-Accent3">
    <w:name w:val="Grid Table 4 Accent 3"/>
    <w:basedOn w:val="TableNormal"/>
    <w:uiPriority w:val="47"/>
    <w:rsid w:val="0056219B"/>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56219B"/>
    <w:pPr>
      <w:spacing w:before="100" w:beforeAutospacing="1" w:after="100" w:afterAutospacing="1"/>
    </w:pPr>
    <w:rPr>
      <w:rFonts w:ascii="Times New Roman" w:hAnsi="Times New Roman"/>
    </w:rPr>
  </w:style>
  <w:style w:type="paragraph" w:customStyle="1" w:styleId="MediumGrid2-Accent11">
    <w:name w:val="Medium Grid 2 - Accent 11"/>
    <w:basedOn w:val="Normal"/>
    <w:uiPriority w:val="1"/>
    <w:qFormat/>
    <w:rsid w:val="0056219B"/>
    <w:rPr>
      <w:rFonts w:ascii="Calibri" w:eastAsia="MS Mincho" w:hAnsi="Calibri"/>
      <w:sz w:val="22"/>
      <w:szCs w:val="22"/>
    </w:rPr>
  </w:style>
  <w:style w:type="paragraph" w:styleId="Caption">
    <w:name w:val="caption"/>
    <w:basedOn w:val="Normal"/>
    <w:next w:val="Normal"/>
    <w:qFormat/>
    <w:locked/>
    <w:rsid w:val="0056219B"/>
    <w:rPr>
      <w:b/>
      <w:bCs/>
      <w:sz w:val="20"/>
      <w:szCs w:val="20"/>
    </w:rPr>
  </w:style>
  <w:style w:type="character" w:customStyle="1" w:styleId="apple-converted-space">
    <w:name w:val="apple-converted-space"/>
    <w:rsid w:val="0056219B"/>
  </w:style>
  <w:style w:type="paragraph" w:customStyle="1" w:styleId="LightGrid-Accent31">
    <w:name w:val="Light Grid - Accent 31"/>
    <w:basedOn w:val="Normal"/>
    <w:qFormat/>
    <w:rsid w:val="0056219B"/>
    <w:pPr>
      <w:ind w:left="720"/>
      <w:contextualSpacing/>
    </w:pPr>
  </w:style>
  <w:style w:type="paragraph" w:styleId="NoSpacing">
    <w:name w:val="No Spacing"/>
    <w:uiPriority w:val="1"/>
    <w:qFormat/>
    <w:rsid w:val="0056219B"/>
    <w:rPr>
      <w:rFonts w:asciiTheme="minorHAnsi" w:eastAsiaTheme="minorHAnsi" w:hAnsiTheme="minorHAnsi" w:cstheme="minorBidi"/>
      <w:sz w:val="22"/>
      <w:szCs w:val="22"/>
      <w:lang w:eastAsia="en-US"/>
    </w:rPr>
  </w:style>
  <w:style w:type="paragraph" w:customStyle="1" w:styleId="Body">
    <w:name w:val="Body"/>
    <w:link w:val="BodyChar"/>
    <w:rsid w:val="0056219B"/>
    <w:pPr>
      <w:pBdr>
        <w:top w:val="nil"/>
        <w:left w:val="nil"/>
        <w:bottom w:val="nil"/>
        <w:right w:val="nil"/>
        <w:between w:val="nil"/>
        <w:bar w:val="nil"/>
      </w:pBdr>
    </w:pPr>
    <w:rPr>
      <w:rFonts w:ascii="Calibri" w:eastAsia="Calibri" w:hAnsi="Calibri" w:cs="Calibri"/>
      <w:color w:val="000000"/>
      <w:sz w:val="24"/>
      <w:szCs w:val="24"/>
      <w:u w:color="000000"/>
      <w:bdr w:val="nil"/>
      <w:lang w:eastAsia="en-US"/>
    </w:rPr>
  </w:style>
  <w:style w:type="character" w:customStyle="1" w:styleId="BodyChar">
    <w:name w:val="Body Char"/>
    <w:link w:val="Body"/>
    <w:rsid w:val="0056219B"/>
    <w:rPr>
      <w:rFonts w:ascii="Calibri" w:eastAsia="Calibri" w:hAnsi="Calibri" w:cs="Calibri"/>
      <w:color w:val="000000"/>
      <w:sz w:val="24"/>
      <w:szCs w:val="24"/>
      <w:u w:color="000000"/>
      <w:bdr w:val="nil"/>
      <w:lang w:eastAsia="en-US"/>
    </w:rPr>
  </w:style>
  <w:style w:type="character" w:customStyle="1" w:styleId="Heading1Char">
    <w:name w:val="Heading 1 Char"/>
    <w:basedOn w:val="DefaultParagraphFont"/>
    <w:link w:val="Heading1"/>
    <w:uiPriority w:val="9"/>
    <w:rsid w:val="0056219B"/>
    <w:rPr>
      <w:rFonts w:asciiTheme="majorHAnsi" w:eastAsiaTheme="majorEastAsia" w:hAnsiTheme="majorHAnsi" w:cstheme="majorBidi"/>
      <w:color w:val="2F5496" w:themeColor="accent1" w:themeShade="BF"/>
      <w:sz w:val="32"/>
      <w:szCs w:val="32"/>
      <w:lang w:eastAsia="en-US"/>
    </w:rPr>
  </w:style>
  <w:style w:type="paragraph" w:styleId="Title">
    <w:name w:val="Title"/>
    <w:basedOn w:val="Normal"/>
    <w:link w:val="TitleChar"/>
    <w:uiPriority w:val="10"/>
    <w:qFormat/>
    <w:locked/>
    <w:rsid w:val="0056219B"/>
    <w:pPr>
      <w:widowControl w:val="0"/>
      <w:autoSpaceDE w:val="0"/>
      <w:autoSpaceDN w:val="0"/>
      <w:spacing w:before="20" w:after="0"/>
      <w:ind w:left="2910" w:right="3208"/>
      <w:jc w:val="center"/>
    </w:pPr>
    <w:rPr>
      <w:rFonts w:ascii="Carlito" w:eastAsia="Carlito" w:hAnsi="Carlito" w:cs="Carlito"/>
      <w:b/>
      <w:bCs/>
      <w:sz w:val="28"/>
      <w:szCs w:val="28"/>
    </w:rPr>
  </w:style>
  <w:style w:type="character" w:customStyle="1" w:styleId="TitleChar">
    <w:name w:val="Title Char"/>
    <w:basedOn w:val="DefaultParagraphFont"/>
    <w:link w:val="Title"/>
    <w:uiPriority w:val="10"/>
    <w:rsid w:val="0056219B"/>
    <w:rPr>
      <w:rFonts w:ascii="Carlito" w:eastAsia="Carlito" w:hAnsi="Carlito" w:cs="Carlito"/>
      <w:b/>
      <w:bCs/>
      <w:sz w:val="28"/>
      <w:szCs w:val="28"/>
      <w:lang w:eastAsia="en-US"/>
    </w:rPr>
  </w:style>
  <w:style w:type="character" w:customStyle="1" w:styleId="normaltextrun">
    <w:name w:val="normaltextrun"/>
    <w:basedOn w:val="DefaultParagraphFont"/>
    <w:rsid w:val="00277510"/>
  </w:style>
  <w:style w:type="character" w:styleId="UnresolvedMention">
    <w:name w:val="Unresolved Mention"/>
    <w:basedOn w:val="DefaultParagraphFont"/>
    <w:uiPriority w:val="99"/>
    <w:semiHidden/>
    <w:unhideWhenUsed/>
    <w:rsid w:val="00F47ECC"/>
    <w:rPr>
      <w:color w:val="605E5C"/>
      <w:shd w:val="clear" w:color="auto" w:fill="E1DFDD"/>
    </w:rPr>
  </w:style>
  <w:style w:type="character" w:styleId="FollowedHyperlink">
    <w:name w:val="FollowedHyperlink"/>
    <w:basedOn w:val="DefaultParagraphFont"/>
    <w:rsid w:val="000A2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5154">
      <w:bodyDiv w:val="1"/>
      <w:marLeft w:val="0"/>
      <w:marRight w:val="0"/>
      <w:marTop w:val="0"/>
      <w:marBottom w:val="0"/>
      <w:divBdr>
        <w:top w:val="none" w:sz="0" w:space="0" w:color="auto"/>
        <w:left w:val="none" w:sz="0" w:space="0" w:color="auto"/>
        <w:bottom w:val="none" w:sz="0" w:space="0" w:color="auto"/>
        <w:right w:val="none" w:sz="0" w:space="0" w:color="auto"/>
      </w:divBdr>
    </w:div>
    <w:div w:id="1153790904">
      <w:bodyDiv w:val="1"/>
      <w:marLeft w:val="0"/>
      <w:marRight w:val="0"/>
      <w:marTop w:val="0"/>
      <w:marBottom w:val="0"/>
      <w:divBdr>
        <w:top w:val="none" w:sz="0" w:space="0" w:color="auto"/>
        <w:left w:val="none" w:sz="0" w:space="0" w:color="auto"/>
        <w:bottom w:val="none" w:sz="0" w:space="0" w:color="auto"/>
        <w:right w:val="none" w:sz="0" w:space="0" w:color="auto"/>
      </w:divBdr>
    </w:div>
    <w:div w:id="1222716047">
      <w:bodyDiv w:val="1"/>
      <w:marLeft w:val="0"/>
      <w:marRight w:val="0"/>
      <w:marTop w:val="0"/>
      <w:marBottom w:val="0"/>
      <w:divBdr>
        <w:top w:val="none" w:sz="0" w:space="0" w:color="auto"/>
        <w:left w:val="none" w:sz="0" w:space="0" w:color="auto"/>
        <w:bottom w:val="none" w:sz="0" w:space="0" w:color="auto"/>
        <w:right w:val="none" w:sz="0" w:space="0" w:color="auto"/>
      </w:divBdr>
    </w:div>
    <w:div w:id="1247963247">
      <w:bodyDiv w:val="1"/>
      <w:marLeft w:val="0"/>
      <w:marRight w:val="0"/>
      <w:marTop w:val="0"/>
      <w:marBottom w:val="0"/>
      <w:divBdr>
        <w:top w:val="none" w:sz="0" w:space="0" w:color="auto"/>
        <w:left w:val="none" w:sz="0" w:space="0" w:color="auto"/>
        <w:bottom w:val="none" w:sz="0" w:space="0" w:color="auto"/>
        <w:right w:val="none" w:sz="0" w:space="0" w:color="auto"/>
      </w:divBdr>
    </w:div>
    <w:div w:id="1347828861">
      <w:bodyDiv w:val="1"/>
      <w:marLeft w:val="0"/>
      <w:marRight w:val="0"/>
      <w:marTop w:val="0"/>
      <w:marBottom w:val="0"/>
      <w:divBdr>
        <w:top w:val="none" w:sz="0" w:space="0" w:color="auto"/>
        <w:left w:val="none" w:sz="0" w:space="0" w:color="auto"/>
        <w:bottom w:val="none" w:sz="0" w:space="0" w:color="auto"/>
        <w:right w:val="none" w:sz="0" w:space="0" w:color="auto"/>
      </w:divBdr>
    </w:div>
    <w:div w:id="1890416154">
      <w:bodyDiv w:val="1"/>
      <w:marLeft w:val="0"/>
      <w:marRight w:val="0"/>
      <w:marTop w:val="0"/>
      <w:marBottom w:val="0"/>
      <w:divBdr>
        <w:top w:val="none" w:sz="0" w:space="0" w:color="auto"/>
        <w:left w:val="none" w:sz="0" w:space="0" w:color="auto"/>
        <w:bottom w:val="none" w:sz="0" w:space="0" w:color="auto"/>
        <w:right w:val="none" w:sz="0" w:space="0" w:color="auto"/>
      </w:divBdr>
    </w:div>
    <w:div w:id="2099255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AA280511E7D0419201C795D484F082" ma:contentTypeVersion="6" ma:contentTypeDescription="Create a new document." ma:contentTypeScope="" ma:versionID="1b86b1043b4c675c058a828fe190afc1">
  <xsd:schema xmlns:xsd="http://www.w3.org/2001/XMLSchema" xmlns:xs="http://www.w3.org/2001/XMLSchema" xmlns:p="http://schemas.microsoft.com/office/2006/metadata/properties" xmlns:ns2="fc8b20fb-a3ac-427d-b2fe-58a2ef7fd462" xmlns:ns3="f06de053-d724-4a4b-a4cb-ac621a68fe01" targetNamespace="http://schemas.microsoft.com/office/2006/metadata/properties" ma:root="true" ma:fieldsID="f1592fa0ab65a0009411c2128bbfb5cc" ns2:_="" ns3:_="">
    <xsd:import namespace="fc8b20fb-a3ac-427d-b2fe-58a2ef7fd462"/>
    <xsd:import namespace="f06de053-d724-4a4b-a4cb-ac621a68fe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b20fb-a3ac-427d-b2fe-58a2ef7f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de053-d724-4a4b-a4cb-ac621a68fe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0431E-1B52-4579-9EB7-BBB8738F217A}">
  <ds:schemaRefs>
    <ds:schemaRef ds:uri="http://schemas.openxmlformats.org/officeDocument/2006/bibliography"/>
  </ds:schemaRefs>
</ds:datastoreItem>
</file>

<file path=customXml/itemProps2.xml><?xml version="1.0" encoding="utf-8"?>
<ds:datastoreItem xmlns:ds="http://schemas.openxmlformats.org/officeDocument/2006/customXml" ds:itemID="{F6CED0EE-B154-47A9-BC12-DD388338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b20fb-a3ac-427d-b2fe-58a2ef7fd462"/>
    <ds:schemaRef ds:uri="f06de053-d724-4a4b-a4cb-ac621a6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73E8A-E80F-4ACA-B6B5-A51421502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4490</Words>
  <Characters>25598</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Salud family health center cdtm policy and procedure- august 2013</vt:lpstr>
    </vt:vector>
  </TitlesOfParts>
  <Company>Microsoft</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Salud family health center cdtm policy and procedure- august 2013</dc:title>
  <dc:subject/>
  <dc:creator>Emily  Kosirog</dc:creator>
  <cp:keywords/>
  <dc:description/>
  <cp:lastModifiedBy>Colorado Pharmacists Society</cp:lastModifiedBy>
  <cp:revision>2</cp:revision>
  <cp:lastPrinted>2024-01-11T16:51:00Z</cp:lastPrinted>
  <dcterms:created xsi:type="dcterms:W3CDTF">2024-06-18T19:21:00Z</dcterms:created>
  <dcterms:modified xsi:type="dcterms:W3CDTF">2024-06-18T19:21:00Z</dcterms:modified>
</cp:coreProperties>
</file>